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E7" w:rsidRPr="00710CBD" w:rsidRDefault="00C268E7" w:rsidP="002365F8">
      <w:pPr>
        <w:ind w:left="180"/>
        <w:jc w:val="center"/>
        <w:rPr>
          <w:rFonts w:eastAsia="SimSun"/>
          <w:b/>
          <w:sz w:val="22"/>
          <w:szCs w:val="22"/>
          <w:lang w:val="bg-BG"/>
        </w:rPr>
      </w:pPr>
      <w:bookmarkStart w:id="0" w:name="_GoBack"/>
      <w:bookmarkEnd w:id="0"/>
      <w:r w:rsidRPr="00710CBD">
        <w:rPr>
          <w:rFonts w:eastAsia="SimSun"/>
          <w:b/>
          <w:sz w:val="22"/>
          <w:szCs w:val="22"/>
        </w:rPr>
        <w:t xml:space="preserve">Анализ на резултатите от дейността на “Летище София“ ЕАД за </w:t>
      </w:r>
      <w:r w:rsidRPr="00710CBD">
        <w:rPr>
          <w:rFonts w:eastAsia="SimSun"/>
          <w:b/>
          <w:sz w:val="22"/>
          <w:szCs w:val="22"/>
          <w:lang w:val="bg-BG"/>
        </w:rPr>
        <w:t xml:space="preserve">периода янури – </w:t>
      </w:r>
      <w:r>
        <w:rPr>
          <w:rFonts w:eastAsia="SimSun"/>
          <w:b/>
          <w:sz w:val="22"/>
          <w:szCs w:val="22"/>
          <w:lang w:val="bg-BG"/>
        </w:rPr>
        <w:t>септември</w:t>
      </w:r>
      <w:r w:rsidRPr="00710CBD">
        <w:rPr>
          <w:rFonts w:eastAsia="SimSun"/>
          <w:b/>
          <w:sz w:val="22"/>
          <w:szCs w:val="22"/>
          <w:lang w:val="bg-BG"/>
        </w:rPr>
        <w:t xml:space="preserve"> на</w:t>
      </w:r>
    </w:p>
    <w:p w:rsidR="00C268E7" w:rsidRPr="00710CBD" w:rsidRDefault="00C268E7" w:rsidP="002365F8">
      <w:pPr>
        <w:ind w:left="180"/>
        <w:jc w:val="center"/>
        <w:rPr>
          <w:rFonts w:eastAsia="SimSun"/>
          <w:b/>
          <w:sz w:val="22"/>
          <w:szCs w:val="22"/>
        </w:rPr>
      </w:pPr>
      <w:r w:rsidRPr="00710CBD">
        <w:rPr>
          <w:rFonts w:eastAsia="SimSun"/>
          <w:b/>
          <w:sz w:val="22"/>
          <w:szCs w:val="22"/>
        </w:rPr>
        <w:t xml:space="preserve"> 201</w:t>
      </w:r>
      <w:r w:rsidRPr="00710CBD">
        <w:rPr>
          <w:rFonts w:eastAsia="SimSun"/>
          <w:b/>
          <w:sz w:val="22"/>
          <w:szCs w:val="22"/>
          <w:lang w:val="bg-BG"/>
        </w:rPr>
        <w:t>5</w:t>
      </w:r>
      <w:r w:rsidRPr="00710CBD">
        <w:rPr>
          <w:rFonts w:eastAsia="SimSun"/>
          <w:b/>
          <w:sz w:val="22"/>
          <w:szCs w:val="22"/>
        </w:rPr>
        <w:t xml:space="preserve"> година</w:t>
      </w:r>
    </w:p>
    <w:p w:rsidR="00C268E7" w:rsidRPr="00710CBD" w:rsidRDefault="00C268E7" w:rsidP="002365F8">
      <w:pPr>
        <w:ind w:left="181"/>
        <w:jc w:val="center"/>
        <w:rPr>
          <w:rFonts w:eastAsia="SimSun"/>
          <w:b/>
          <w:sz w:val="22"/>
          <w:szCs w:val="22"/>
          <w:lang w:val="bg-BG"/>
        </w:rPr>
      </w:pPr>
    </w:p>
    <w:p w:rsidR="00C268E7" w:rsidRPr="00144C3D" w:rsidRDefault="00C268E7" w:rsidP="002365F8">
      <w:pPr>
        <w:spacing w:before="60" w:after="60" w:line="240" w:lineRule="atLeast"/>
        <w:ind w:right="-143"/>
        <w:jc w:val="both"/>
        <w:outlineLvl w:val="8"/>
        <w:rPr>
          <w:rFonts w:eastAsia="SimSun"/>
          <w:sz w:val="24"/>
          <w:szCs w:val="24"/>
          <w:lang w:val="bg-BG"/>
        </w:rPr>
      </w:pPr>
      <w:r w:rsidRPr="00710CBD">
        <w:rPr>
          <w:rFonts w:eastAsia="SimSun"/>
          <w:b/>
          <w:sz w:val="22"/>
          <w:szCs w:val="22"/>
          <w:lang w:val="bg-BG"/>
        </w:rPr>
        <w:tab/>
      </w:r>
      <w:r w:rsidRPr="00144C3D">
        <w:rPr>
          <w:rFonts w:eastAsia="SimSun"/>
          <w:sz w:val="24"/>
          <w:szCs w:val="24"/>
          <w:lang w:val="bg-BG"/>
        </w:rPr>
        <w:t>За периода януари - септември на 20</w:t>
      </w:r>
      <w:r w:rsidRPr="00144C3D">
        <w:rPr>
          <w:rFonts w:eastAsia="SimSun"/>
          <w:sz w:val="24"/>
          <w:szCs w:val="24"/>
        </w:rPr>
        <w:t>15</w:t>
      </w:r>
      <w:r w:rsidRPr="00144C3D">
        <w:rPr>
          <w:rFonts w:eastAsia="SimSun"/>
          <w:sz w:val="24"/>
          <w:szCs w:val="24"/>
          <w:lang w:val="bg-BG"/>
        </w:rPr>
        <w:t xml:space="preserve"> година “Летище София” ЕАД отчита финансов резултат от дейността си </w:t>
      </w:r>
      <w:r w:rsidRPr="00144C3D">
        <w:rPr>
          <w:rFonts w:eastAsia="SimSun"/>
          <w:b/>
          <w:sz w:val="24"/>
          <w:szCs w:val="24"/>
          <w:lang w:val="bg-BG"/>
        </w:rPr>
        <w:t xml:space="preserve">- печалба в размер на  4 550 хил. лв., с  2 037 хил. лв. повече от планираната </w:t>
      </w:r>
      <w:r w:rsidRPr="00144C3D">
        <w:rPr>
          <w:rFonts w:eastAsia="SimSun"/>
          <w:sz w:val="24"/>
          <w:szCs w:val="24"/>
          <w:lang w:val="bg-BG"/>
        </w:rPr>
        <w:t>и с  578 хил. лв. повече от отчетената за същия период на 20</w:t>
      </w:r>
      <w:r w:rsidRPr="00144C3D">
        <w:rPr>
          <w:rFonts w:eastAsia="SimSun"/>
          <w:sz w:val="24"/>
          <w:szCs w:val="24"/>
        </w:rPr>
        <w:t>1</w:t>
      </w:r>
      <w:r w:rsidRPr="00144C3D">
        <w:rPr>
          <w:rFonts w:eastAsia="SimSun"/>
          <w:sz w:val="24"/>
          <w:szCs w:val="24"/>
          <w:lang w:val="bg-BG"/>
        </w:rPr>
        <w:t>4 година. Подробен анализ на финансовия резултат е описан в раздел„Финансов резултат” от настоящия анализ.</w:t>
      </w:r>
    </w:p>
    <w:p w:rsidR="00C268E7" w:rsidRPr="006974FE" w:rsidRDefault="00C268E7" w:rsidP="002365F8">
      <w:pPr>
        <w:spacing w:line="240" w:lineRule="atLeast"/>
        <w:ind w:left="181"/>
        <w:jc w:val="both"/>
        <w:rPr>
          <w:rFonts w:eastAsia="SimSun"/>
          <w:b/>
          <w:i/>
          <w:sz w:val="22"/>
          <w:szCs w:val="22"/>
          <w:lang w:val="bg-BG"/>
        </w:rPr>
      </w:pPr>
    </w:p>
    <w:p w:rsidR="00C268E7" w:rsidRPr="00B37F23" w:rsidRDefault="00C268E7" w:rsidP="0092206D">
      <w:pPr>
        <w:pStyle w:val="ListParagraph"/>
        <w:ind w:left="709"/>
        <w:jc w:val="both"/>
        <w:rPr>
          <w:rFonts w:eastAsia="SimSun"/>
          <w:b/>
          <w:i/>
          <w:sz w:val="22"/>
          <w:szCs w:val="22"/>
          <w:lang w:val="bg-BG"/>
        </w:rPr>
      </w:pPr>
      <w:r>
        <w:rPr>
          <w:rFonts w:eastAsia="SimSun"/>
          <w:b/>
          <w:i/>
          <w:sz w:val="22"/>
          <w:szCs w:val="22"/>
        </w:rPr>
        <w:t>I.</w:t>
      </w:r>
      <w:r w:rsidRPr="00B37F23">
        <w:rPr>
          <w:rFonts w:eastAsia="SimSun"/>
          <w:b/>
          <w:i/>
          <w:sz w:val="22"/>
          <w:szCs w:val="22"/>
        </w:rPr>
        <w:t>ОСНОВНИ ФИНАНСОВИ И ОПЕРАТИВНИ ПОКАЗАТЕЛИ</w:t>
      </w:r>
    </w:p>
    <w:tbl>
      <w:tblPr>
        <w:tblW w:w="102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7"/>
        <w:gridCol w:w="1236"/>
        <w:gridCol w:w="1173"/>
        <w:gridCol w:w="850"/>
        <w:gridCol w:w="1276"/>
        <w:gridCol w:w="709"/>
      </w:tblGrid>
      <w:tr w:rsidR="00C268E7" w:rsidRPr="00B37F23" w:rsidTr="005620BD">
        <w:trPr>
          <w:trHeight w:val="914"/>
        </w:trPr>
        <w:tc>
          <w:tcPr>
            <w:tcW w:w="4977" w:type="dxa"/>
            <w:vAlign w:val="bottom"/>
          </w:tcPr>
          <w:p w:rsidR="00C268E7" w:rsidRPr="00B37F23" w:rsidRDefault="00C268E7" w:rsidP="005620BD">
            <w:pPr>
              <w:jc w:val="both"/>
              <w:rPr>
                <w:rFonts w:eastAsia="SimSun"/>
                <w:b/>
                <w:sz w:val="22"/>
                <w:szCs w:val="22"/>
                <w:lang w:val="bg-BG"/>
              </w:rPr>
            </w:pPr>
            <w:r w:rsidRPr="00B37F23">
              <w:rPr>
                <w:rFonts w:eastAsia="SimSun"/>
                <w:b/>
                <w:sz w:val="22"/>
                <w:szCs w:val="22"/>
                <w:lang w:val="bg-BG"/>
              </w:rPr>
              <w:t>в хил. лева</w:t>
            </w:r>
          </w:p>
        </w:tc>
        <w:tc>
          <w:tcPr>
            <w:tcW w:w="1236" w:type="dxa"/>
            <w:vAlign w:val="center"/>
          </w:tcPr>
          <w:p w:rsidR="00C268E7" w:rsidRPr="00B37F23" w:rsidRDefault="00C268E7" w:rsidP="005620BD">
            <w:pPr>
              <w:jc w:val="center"/>
              <w:rPr>
                <w:rFonts w:eastAsia="SimSun"/>
                <w:b/>
                <w:sz w:val="22"/>
                <w:szCs w:val="22"/>
                <w:lang w:val="bg-BG"/>
              </w:rPr>
            </w:pPr>
            <w:r w:rsidRPr="00B37F23">
              <w:rPr>
                <w:rFonts w:eastAsia="SimSun"/>
                <w:b/>
                <w:sz w:val="22"/>
                <w:szCs w:val="22"/>
                <w:lang w:val="bg-BG"/>
              </w:rPr>
              <w:t>отчетен период</w:t>
            </w:r>
          </w:p>
        </w:tc>
        <w:tc>
          <w:tcPr>
            <w:tcW w:w="1173" w:type="dxa"/>
            <w:vAlign w:val="center"/>
          </w:tcPr>
          <w:p w:rsidR="00C268E7" w:rsidRPr="00B37F23" w:rsidRDefault="00C268E7" w:rsidP="005620BD">
            <w:pPr>
              <w:jc w:val="center"/>
              <w:rPr>
                <w:rFonts w:eastAsia="SimSun"/>
                <w:b/>
                <w:sz w:val="22"/>
                <w:szCs w:val="22"/>
                <w:lang w:val="bg-BG"/>
              </w:rPr>
            </w:pPr>
            <w:r w:rsidRPr="00B37F23">
              <w:rPr>
                <w:rFonts w:eastAsia="SimSun"/>
                <w:b/>
                <w:sz w:val="22"/>
                <w:szCs w:val="22"/>
                <w:lang w:val="bg-BG"/>
              </w:rPr>
              <w:t>бизнес план</w:t>
            </w:r>
          </w:p>
        </w:tc>
        <w:tc>
          <w:tcPr>
            <w:tcW w:w="850" w:type="dxa"/>
            <w:vAlign w:val="center"/>
          </w:tcPr>
          <w:p w:rsidR="00C268E7" w:rsidRPr="00B37F23" w:rsidRDefault="00C268E7" w:rsidP="005620BD">
            <w:pPr>
              <w:jc w:val="center"/>
              <w:rPr>
                <w:rFonts w:eastAsia="SimSun"/>
                <w:b/>
                <w:sz w:val="22"/>
                <w:szCs w:val="22"/>
                <w:lang w:val="bg-BG"/>
              </w:rPr>
            </w:pPr>
            <w:r w:rsidRPr="00B37F23">
              <w:rPr>
                <w:rFonts w:eastAsia="SimSun"/>
                <w:b/>
                <w:sz w:val="22"/>
                <w:szCs w:val="22"/>
                <w:lang w:val="bg-BG"/>
              </w:rPr>
              <w:t>1/2 (%)</w:t>
            </w:r>
          </w:p>
        </w:tc>
        <w:tc>
          <w:tcPr>
            <w:tcW w:w="1276" w:type="dxa"/>
            <w:vAlign w:val="center"/>
          </w:tcPr>
          <w:p w:rsidR="00C268E7" w:rsidRPr="00B37F23" w:rsidRDefault="00C268E7" w:rsidP="005620BD">
            <w:pPr>
              <w:jc w:val="center"/>
              <w:rPr>
                <w:rFonts w:eastAsia="SimSun"/>
                <w:b/>
                <w:sz w:val="22"/>
                <w:szCs w:val="22"/>
                <w:lang w:val="bg-BG"/>
              </w:rPr>
            </w:pPr>
            <w:r w:rsidRPr="00B37F23">
              <w:rPr>
                <w:rFonts w:eastAsia="SimSun"/>
                <w:b/>
                <w:sz w:val="22"/>
                <w:szCs w:val="22"/>
                <w:lang w:val="bg-BG"/>
              </w:rPr>
              <w:t>съответен период на предходна година</w:t>
            </w:r>
          </w:p>
        </w:tc>
        <w:tc>
          <w:tcPr>
            <w:tcW w:w="709" w:type="dxa"/>
            <w:vAlign w:val="center"/>
          </w:tcPr>
          <w:p w:rsidR="00C268E7" w:rsidRPr="00B37F23" w:rsidRDefault="00C268E7" w:rsidP="005620BD">
            <w:pPr>
              <w:jc w:val="center"/>
              <w:rPr>
                <w:rFonts w:eastAsia="SimSun"/>
                <w:b/>
                <w:sz w:val="22"/>
                <w:szCs w:val="22"/>
                <w:lang w:val="bg-BG"/>
              </w:rPr>
            </w:pPr>
            <w:r w:rsidRPr="00B37F23">
              <w:rPr>
                <w:rFonts w:eastAsia="SimSun"/>
                <w:b/>
                <w:sz w:val="22"/>
                <w:szCs w:val="22"/>
                <w:lang w:val="bg-BG"/>
              </w:rPr>
              <w:t>1/3 (%)</w:t>
            </w:r>
          </w:p>
        </w:tc>
      </w:tr>
      <w:tr w:rsidR="00C268E7" w:rsidRPr="00B37F23" w:rsidTr="005620BD">
        <w:trPr>
          <w:trHeight w:val="330"/>
        </w:trPr>
        <w:tc>
          <w:tcPr>
            <w:tcW w:w="4977" w:type="dxa"/>
            <w:vAlign w:val="bottom"/>
          </w:tcPr>
          <w:p w:rsidR="00C268E7" w:rsidRPr="00B37F23" w:rsidRDefault="00C268E7" w:rsidP="005620BD">
            <w:pPr>
              <w:jc w:val="both"/>
              <w:rPr>
                <w:rFonts w:eastAsia="SimSun"/>
                <w:sz w:val="22"/>
                <w:szCs w:val="22"/>
                <w:lang w:val="bg-BG"/>
              </w:rPr>
            </w:pPr>
            <w:r w:rsidRPr="00B37F23">
              <w:rPr>
                <w:rFonts w:eastAsia="SimSun"/>
                <w:sz w:val="22"/>
                <w:szCs w:val="22"/>
                <w:lang w:val="bg-BG"/>
              </w:rPr>
              <w:t>Нетни приходи от продажби</w:t>
            </w:r>
          </w:p>
        </w:tc>
        <w:tc>
          <w:tcPr>
            <w:tcW w:w="1236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50,318</w:t>
            </w:r>
          </w:p>
        </w:tc>
        <w:tc>
          <w:tcPr>
            <w:tcW w:w="1173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45,000</w:t>
            </w:r>
          </w:p>
        </w:tc>
        <w:tc>
          <w:tcPr>
            <w:tcW w:w="850" w:type="dxa"/>
            <w:vAlign w:val="bottom"/>
          </w:tcPr>
          <w:p w:rsidR="00C268E7" w:rsidRPr="00B37F23" w:rsidRDefault="00C268E7" w:rsidP="003A3B3D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11.8</w:t>
            </w:r>
          </w:p>
        </w:tc>
        <w:tc>
          <w:tcPr>
            <w:tcW w:w="1276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43,601</w:t>
            </w:r>
          </w:p>
        </w:tc>
        <w:tc>
          <w:tcPr>
            <w:tcW w:w="709" w:type="dxa"/>
            <w:vAlign w:val="bottom"/>
          </w:tcPr>
          <w:p w:rsidR="00C268E7" w:rsidRPr="00B37F23" w:rsidRDefault="00C268E7" w:rsidP="003A3B3D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15.4</w:t>
            </w:r>
          </w:p>
        </w:tc>
      </w:tr>
      <w:tr w:rsidR="00C268E7" w:rsidRPr="00B37F23" w:rsidTr="005620BD">
        <w:trPr>
          <w:trHeight w:val="315"/>
        </w:trPr>
        <w:tc>
          <w:tcPr>
            <w:tcW w:w="4977" w:type="dxa"/>
            <w:vAlign w:val="bottom"/>
          </w:tcPr>
          <w:p w:rsidR="00C268E7" w:rsidRPr="00B37F23" w:rsidRDefault="00C268E7" w:rsidP="005620BD">
            <w:pPr>
              <w:jc w:val="both"/>
              <w:rPr>
                <w:rFonts w:eastAsia="SimSun"/>
                <w:sz w:val="22"/>
                <w:szCs w:val="22"/>
                <w:lang w:val="bg-BG"/>
              </w:rPr>
            </w:pPr>
            <w:r w:rsidRPr="00B37F23">
              <w:rPr>
                <w:rFonts w:eastAsia="SimSun"/>
                <w:sz w:val="22"/>
                <w:szCs w:val="22"/>
                <w:lang w:val="bg-BG"/>
              </w:rPr>
              <w:t>Оперативни разходи/ без амортизации и финансирания/</w:t>
            </w:r>
          </w:p>
        </w:tc>
        <w:tc>
          <w:tcPr>
            <w:tcW w:w="1236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44,841</w:t>
            </w:r>
          </w:p>
        </w:tc>
        <w:tc>
          <w:tcPr>
            <w:tcW w:w="1173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41,241</w:t>
            </w:r>
          </w:p>
        </w:tc>
        <w:tc>
          <w:tcPr>
            <w:tcW w:w="850" w:type="dxa"/>
            <w:vAlign w:val="bottom"/>
          </w:tcPr>
          <w:p w:rsidR="00C268E7" w:rsidRPr="00B37F23" w:rsidRDefault="00C268E7" w:rsidP="003A3B3D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8.7</w:t>
            </w:r>
          </w:p>
        </w:tc>
        <w:tc>
          <w:tcPr>
            <w:tcW w:w="1276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39,824</w:t>
            </w:r>
          </w:p>
        </w:tc>
        <w:tc>
          <w:tcPr>
            <w:tcW w:w="709" w:type="dxa"/>
            <w:vAlign w:val="bottom"/>
          </w:tcPr>
          <w:p w:rsidR="00C268E7" w:rsidRPr="00B37F23" w:rsidRDefault="00C268E7" w:rsidP="003A3B3D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12.6</w:t>
            </w:r>
          </w:p>
        </w:tc>
      </w:tr>
      <w:tr w:rsidR="00C268E7" w:rsidRPr="00B37F23" w:rsidTr="005620BD">
        <w:trPr>
          <w:trHeight w:val="315"/>
        </w:trPr>
        <w:tc>
          <w:tcPr>
            <w:tcW w:w="4977" w:type="dxa"/>
            <w:vAlign w:val="bottom"/>
          </w:tcPr>
          <w:p w:rsidR="00C268E7" w:rsidRPr="00B37F23" w:rsidRDefault="00C268E7" w:rsidP="005620BD">
            <w:pPr>
              <w:jc w:val="both"/>
              <w:rPr>
                <w:sz w:val="22"/>
                <w:szCs w:val="22"/>
                <w:lang w:val="bg-BG"/>
              </w:rPr>
            </w:pPr>
            <w:r w:rsidRPr="00B37F23">
              <w:rPr>
                <w:rFonts w:eastAsia="SimSun"/>
                <w:sz w:val="22"/>
                <w:szCs w:val="22"/>
                <w:lang w:val="bg-BG"/>
              </w:rPr>
              <w:t xml:space="preserve">Печалба преди фин. приходи и разходи, данъци и амортизации </w:t>
            </w:r>
          </w:p>
        </w:tc>
        <w:tc>
          <w:tcPr>
            <w:tcW w:w="1236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5,477</w:t>
            </w:r>
          </w:p>
        </w:tc>
        <w:tc>
          <w:tcPr>
            <w:tcW w:w="1173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3,759</w:t>
            </w:r>
          </w:p>
        </w:tc>
        <w:tc>
          <w:tcPr>
            <w:tcW w:w="850" w:type="dxa"/>
            <w:vAlign w:val="bottom"/>
          </w:tcPr>
          <w:p w:rsidR="00C268E7" w:rsidRPr="00B37F23" w:rsidRDefault="00C268E7" w:rsidP="003A3B3D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45.7</w:t>
            </w:r>
          </w:p>
        </w:tc>
        <w:tc>
          <w:tcPr>
            <w:tcW w:w="1276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3,777</w:t>
            </w:r>
          </w:p>
        </w:tc>
        <w:tc>
          <w:tcPr>
            <w:tcW w:w="709" w:type="dxa"/>
            <w:vAlign w:val="bottom"/>
          </w:tcPr>
          <w:p w:rsidR="00C268E7" w:rsidRPr="00B37F23" w:rsidRDefault="00C268E7" w:rsidP="003A3B3D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45.0</w:t>
            </w:r>
          </w:p>
        </w:tc>
      </w:tr>
      <w:tr w:rsidR="00C268E7" w:rsidRPr="00B37F23" w:rsidTr="005620BD">
        <w:trPr>
          <w:trHeight w:val="315"/>
        </w:trPr>
        <w:tc>
          <w:tcPr>
            <w:tcW w:w="4977" w:type="dxa"/>
            <w:vAlign w:val="bottom"/>
          </w:tcPr>
          <w:p w:rsidR="00C268E7" w:rsidRPr="00B37F23" w:rsidRDefault="00C268E7" w:rsidP="005620BD">
            <w:pPr>
              <w:jc w:val="both"/>
              <w:rPr>
                <w:rFonts w:eastAsia="SimSun"/>
                <w:sz w:val="22"/>
                <w:szCs w:val="22"/>
                <w:lang w:val="bg-BG"/>
              </w:rPr>
            </w:pPr>
            <w:r w:rsidRPr="00B37F23">
              <w:rPr>
                <w:rFonts w:eastAsia="SimSun"/>
                <w:sz w:val="22"/>
                <w:szCs w:val="22"/>
                <w:lang w:val="bg-BG"/>
              </w:rPr>
              <w:t>EBITDA / Приходи от продажби (%)</w:t>
            </w:r>
          </w:p>
        </w:tc>
        <w:tc>
          <w:tcPr>
            <w:tcW w:w="1236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10.9%</w:t>
            </w:r>
          </w:p>
        </w:tc>
        <w:tc>
          <w:tcPr>
            <w:tcW w:w="1173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8.4%</w:t>
            </w:r>
          </w:p>
        </w:tc>
        <w:tc>
          <w:tcPr>
            <w:tcW w:w="850" w:type="dxa"/>
            <w:vAlign w:val="bottom"/>
          </w:tcPr>
          <w:p w:rsidR="00C268E7" w:rsidRPr="00B37F23" w:rsidRDefault="00C268E7" w:rsidP="003A3B3D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30.3</w:t>
            </w:r>
          </w:p>
        </w:tc>
        <w:tc>
          <w:tcPr>
            <w:tcW w:w="1276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8.7%</w:t>
            </w:r>
          </w:p>
        </w:tc>
        <w:tc>
          <w:tcPr>
            <w:tcW w:w="709" w:type="dxa"/>
            <w:vAlign w:val="bottom"/>
          </w:tcPr>
          <w:p w:rsidR="00C268E7" w:rsidRPr="00B37F23" w:rsidRDefault="00C268E7" w:rsidP="003A3B3D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25.7</w:t>
            </w:r>
          </w:p>
        </w:tc>
      </w:tr>
      <w:tr w:rsidR="00C268E7" w:rsidRPr="00B37F23" w:rsidTr="005620BD">
        <w:trPr>
          <w:trHeight w:val="315"/>
        </w:trPr>
        <w:tc>
          <w:tcPr>
            <w:tcW w:w="4977" w:type="dxa"/>
            <w:vAlign w:val="bottom"/>
          </w:tcPr>
          <w:p w:rsidR="00C268E7" w:rsidRPr="00B37F23" w:rsidRDefault="00C268E7" w:rsidP="005620BD">
            <w:pPr>
              <w:jc w:val="both"/>
              <w:rPr>
                <w:rFonts w:eastAsia="SimSun"/>
                <w:b/>
                <w:sz w:val="22"/>
                <w:szCs w:val="22"/>
                <w:lang w:val="bg-BG"/>
              </w:rPr>
            </w:pPr>
            <w:r w:rsidRPr="00B37F23">
              <w:rPr>
                <w:rFonts w:eastAsia="SimSun"/>
                <w:b/>
                <w:sz w:val="22"/>
                <w:szCs w:val="22"/>
                <w:lang w:val="bg-BG"/>
              </w:rPr>
              <w:t>Печалба преди фин. приходи и разходи, данъци с амортизации (EBIT)</w:t>
            </w:r>
          </w:p>
        </w:tc>
        <w:tc>
          <w:tcPr>
            <w:tcW w:w="1236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4,605</w:t>
            </w:r>
          </w:p>
        </w:tc>
        <w:tc>
          <w:tcPr>
            <w:tcW w:w="1173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2,848</w:t>
            </w:r>
          </w:p>
        </w:tc>
        <w:tc>
          <w:tcPr>
            <w:tcW w:w="850" w:type="dxa"/>
            <w:vAlign w:val="bottom"/>
          </w:tcPr>
          <w:p w:rsidR="00C268E7" w:rsidRPr="00B37F23" w:rsidRDefault="00C268E7" w:rsidP="003A3B3D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61.7</w:t>
            </w:r>
          </w:p>
        </w:tc>
        <w:tc>
          <w:tcPr>
            <w:tcW w:w="1276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2,981</w:t>
            </w:r>
          </w:p>
        </w:tc>
        <w:tc>
          <w:tcPr>
            <w:tcW w:w="709" w:type="dxa"/>
            <w:vAlign w:val="bottom"/>
          </w:tcPr>
          <w:p w:rsidR="00C268E7" w:rsidRPr="00B37F23" w:rsidRDefault="00C268E7" w:rsidP="003A3B3D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54.5</w:t>
            </w:r>
          </w:p>
        </w:tc>
      </w:tr>
      <w:tr w:rsidR="00C268E7" w:rsidRPr="00B37F23" w:rsidTr="005620BD">
        <w:trPr>
          <w:trHeight w:val="377"/>
        </w:trPr>
        <w:tc>
          <w:tcPr>
            <w:tcW w:w="4977" w:type="dxa"/>
            <w:vAlign w:val="bottom"/>
          </w:tcPr>
          <w:p w:rsidR="00C268E7" w:rsidRPr="00B37F23" w:rsidRDefault="00C268E7" w:rsidP="005620BD">
            <w:pPr>
              <w:jc w:val="both"/>
              <w:rPr>
                <w:rFonts w:eastAsia="SimSun"/>
                <w:sz w:val="22"/>
                <w:szCs w:val="22"/>
                <w:lang w:val="bg-BG"/>
              </w:rPr>
            </w:pPr>
            <w:r w:rsidRPr="00B37F23">
              <w:rPr>
                <w:rFonts w:eastAsia="SimSun"/>
                <w:sz w:val="22"/>
                <w:szCs w:val="22"/>
                <w:lang w:val="bg-BG"/>
              </w:rPr>
              <w:t>ЕBIT / Приходи от продажби (%)</w:t>
            </w:r>
          </w:p>
        </w:tc>
        <w:tc>
          <w:tcPr>
            <w:tcW w:w="1236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9.2%</w:t>
            </w:r>
          </w:p>
        </w:tc>
        <w:tc>
          <w:tcPr>
            <w:tcW w:w="1173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6.3%</w:t>
            </w:r>
          </w:p>
        </w:tc>
        <w:tc>
          <w:tcPr>
            <w:tcW w:w="850" w:type="dxa"/>
            <w:vAlign w:val="bottom"/>
          </w:tcPr>
          <w:p w:rsidR="00C268E7" w:rsidRPr="00B37F23" w:rsidRDefault="00C268E7" w:rsidP="003A3B3D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44.6</w:t>
            </w:r>
          </w:p>
        </w:tc>
        <w:tc>
          <w:tcPr>
            <w:tcW w:w="1276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6.8%</w:t>
            </w:r>
          </w:p>
        </w:tc>
        <w:tc>
          <w:tcPr>
            <w:tcW w:w="709" w:type="dxa"/>
            <w:vAlign w:val="bottom"/>
          </w:tcPr>
          <w:p w:rsidR="00C268E7" w:rsidRPr="00B37F23" w:rsidRDefault="00C268E7" w:rsidP="003A3B3D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33.9</w:t>
            </w:r>
          </w:p>
        </w:tc>
      </w:tr>
      <w:tr w:rsidR="00C268E7" w:rsidRPr="00B37F23" w:rsidTr="005620BD">
        <w:trPr>
          <w:trHeight w:val="341"/>
        </w:trPr>
        <w:tc>
          <w:tcPr>
            <w:tcW w:w="4977" w:type="dxa"/>
            <w:vAlign w:val="bottom"/>
          </w:tcPr>
          <w:p w:rsidR="00C268E7" w:rsidRPr="00B37F23" w:rsidRDefault="00C268E7" w:rsidP="005620BD">
            <w:pPr>
              <w:jc w:val="both"/>
              <w:rPr>
                <w:rFonts w:eastAsia="SimSun"/>
                <w:b/>
                <w:sz w:val="22"/>
                <w:szCs w:val="22"/>
                <w:lang w:val="bg-BG"/>
              </w:rPr>
            </w:pPr>
            <w:r w:rsidRPr="00B37F23">
              <w:rPr>
                <w:rFonts w:eastAsia="SimSun"/>
                <w:b/>
                <w:sz w:val="22"/>
                <w:szCs w:val="22"/>
                <w:lang w:val="bg-BG"/>
              </w:rPr>
              <w:t>Печалба преди данъци</w:t>
            </w:r>
          </w:p>
        </w:tc>
        <w:tc>
          <w:tcPr>
            <w:tcW w:w="1236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5,056</w:t>
            </w:r>
          </w:p>
        </w:tc>
        <w:tc>
          <w:tcPr>
            <w:tcW w:w="1173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2,792</w:t>
            </w:r>
          </w:p>
        </w:tc>
        <w:tc>
          <w:tcPr>
            <w:tcW w:w="850" w:type="dxa"/>
            <w:vAlign w:val="bottom"/>
          </w:tcPr>
          <w:p w:rsidR="00C268E7" w:rsidRPr="00B37F23" w:rsidRDefault="00C268E7" w:rsidP="003A3B3D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81.1</w:t>
            </w:r>
          </w:p>
        </w:tc>
        <w:tc>
          <w:tcPr>
            <w:tcW w:w="1276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4,414</w:t>
            </w:r>
          </w:p>
        </w:tc>
        <w:tc>
          <w:tcPr>
            <w:tcW w:w="709" w:type="dxa"/>
            <w:vAlign w:val="bottom"/>
          </w:tcPr>
          <w:p w:rsidR="00C268E7" w:rsidRPr="00B37F23" w:rsidRDefault="00C268E7" w:rsidP="003A3B3D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14.5</w:t>
            </w:r>
          </w:p>
        </w:tc>
      </w:tr>
      <w:tr w:rsidR="00C268E7" w:rsidRPr="00B37F23" w:rsidTr="005620BD">
        <w:trPr>
          <w:trHeight w:val="277"/>
        </w:trPr>
        <w:tc>
          <w:tcPr>
            <w:tcW w:w="4977" w:type="dxa"/>
            <w:vAlign w:val="bottom"/>
          </w:tcPr>
          <w:p w:rsidR="00C268E7" w:rsidRPr="00B37F23" w:rsidRDefault="00C268E7" w:rsidP="005620BD">
            <w:pPr>
              <w:jc w:val="both"/>
              <w:rPr>
                <w:rFonts w:eastAsia="SimSun"/>
                <w:b/>
                <w:sz w:val="22"/>
                <w:szCs w:val="22"/>
                <w:lang w:val="bg-BG"/>
              </w:rPr>
            </w:pPr>
            <w:r w:rsidRPr="00B37F23">
              <w:rPr>
                <w:rFonts w:eastAsia="SimSun"/>
                <w:b/>
                <w:sz w:val="22"/>
                <w:szCs w:val="22"/>
                <w:lang w:val="bg-BG"/>
              </w:rPr>
              <w:t>Чиста печалба</w:t>
            </w:r>
          </w:p>
        </w:tc>
        <w:tc>
          <w:tcPr>
            <w:tcW w:w="1236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4,550</w:t>
            </w:r>
          </w:p>
        </w:tc>
        <w:tc>
          <w:tcPr>
            <w:tcW w:w="1173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2,513</w:t>
            </w:r>
          </w:p>
        </w:tc>
        <w:tc>
          <w:tcPr>
            <w:tcW w:w="850" w:type="dxa"/>
            <w:vAlign w:val="bottom"/>
          </w:tcPr>
          <w:p w:rsidR="00C268E7" w:rsidRPr="00B37F23" w:rsidRDefault="00C268E7" w:rsidP="003A3B3D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81.1</w:t>
            </w:r>
          </w:p>
        </w:tc>
        <w:tc>
          <w:tcPr>
            <w:tcW w:w="1276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3,972</w:t>
            </w:r>
          </w:p>
        </w:tc>
        <w:tc>
          <w:tcPr>
            <w:tcW w:w="709" w:type="dxa"/>
            <w:vAlign w:val="bottom"/>
          </w:tcPr>
          <w:p w:rsidR="00C268E7" w:rsidRPr="00B37F23" w:rsidRDefault="00C268E7" w:rsidP="003A3B3D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14.6</w:t>
            </w:r>
          </w:p>
        </w:tc>
      </w:tr>
    </w:tbl>
    <w:p w:rsidR="00C268E7" w:rsidRPr="00B37F23" w:rsidRDefault="00C268E7" w:rsidP="002365F8">
      <w:pPr>
        <w:ind w:left="708"/>
        <w:jc w:val="both"/>
        <w:rPr>
          <w:b/>
          <w:i/>
          <w:sz w:val="22"/>
          <w:szCs w:val="22"/>
          <w:u w:val="single"/>
          <w:lang w:val="bg-BG"/>
        </w:rPr>
      </w:pPr>
    </w:p>
    <w:p w:rsidR="00C268E7" w:rsidRPr="00B37F23" w:rsidRDefault="00C268E7" w:rsidP="002365F8">
      <w:pPr>
        <w:spacing w:before="60" w:after="60" w:line="240" w:lineRule="atLeast"/>
        <w:ind w:firstLine="708"/>
        <w:jc w:val="both"/>
        <w:rPr>
          <w:b/>
          <w:i/>
          <w:sz w:val="24"/>
          <w:szCs w:val="24"/>
          <w:u w:val="single"/>
          <w:lang w:val="bg-BG"/>
        </w:rPr>
      </w:pPr>
      <w:r w:rsidRPr="00B37F23">
        <w:rPr>
          <w:b/>
          <w:i/>
          <w:sz w:val="24"/>
          <w:szCs w:val="24"/>
          <w:u w:val="single"/>
        </w:rPr>
        <w:t xml:space="preserve">I.1. </w:t>
      </w:r>
      <w:r w:rsidRPr="00B37F23">
        <w:rPr>
          <w:b/>
          <w:i/>
          <w:sz w:val="24"/>
          <w:szCs w:val="24"/>
          <w:u w:val="single"/>
          <w:lang w:val="bg-BG"/>
        </w:rPr>
        <w:t>Приходи</w:t>
      </w:r>
    </w:p>
    <w:p w:rsidR="00C268E7" w:rsidRPr="00B37F23" w:rsidRDefault="00C268E7" w:rsidP="004D07EA">
      <w:pPr>
        <w:spacing w:before="60" w:after="60" w:line="240" w:lineRule="atLeast"/>
        <w:ind w:firstLine="709"/>
        <w:jc w:val="both"/>
        <w:rPr>
          <w:sz w:val="24"/>
          <w:szCs w:val="24"/>
          <w:lang w:val="bg-BG"/>
        </w:rPr>
      </w:pPr>
      <w:r w:rsidRPr="00B37F23">
        <w:rPr>
          <w:sz w:val="24"/>
          <w:szCs w:val="24"/>
          <w:lang w:val="bg-BG"/>
        </w:rPr>
        <w:t>За деветте месеца от началото на 20</w:t>
      </w:r>
      <w:r w:rsidRPr="00B37F23">
        <w:rPr>
          <w:sz w:val="24"/>
          <w:szCs w:val="24"/>
        </w:rPr>
        <w:t>1</w:t>
      </w:r>
      <w:r w:rsidRPr="00B37F23">
        <w:rPr>
          <w:sz w:val="24"/>
          <w:szCs w:val="24"/>
          <w:lang w:val="bg-BG"/>
        </w:rPr>
        <w:t xml:space="preserve">5 година дружеството отчита приходи в размер на  85 007 хил. лв. – с 20 хил.лв. повече от планираните и с  7 118 хил. лв. повече от отчетените за същия период на 2014 година. </w:t>
      </w:r>
    </w:p>
    <w:p w:rsidR="00C268E7" w:rsidRPr="00B37F23" w:rsidRDefault="00C268E7" w:rsidP="004D07EA">
      <w:pPr>
        <w:spacing w:before="60" w:after="60" w:line="240" w:lineRule="atLeast"/>
        <w:ind w:firstLine="709"/>
        <w:jc w:val="both"/>
        <w:rPr>
          <w:sz w:val="24"/>
          <w:szCs w:val="24"/>
          <w:lang w:val="bg-BG"/>
        </w:rPr>
      </w:pPr>
    </w:p>
    <w:p w:rsidR="00C268E7" w:rsidRPr="00B37F23" w:rsidRDefault="00C268E7" w:rsidP="002365F8">
      <w:pPr>
        <w:spacing w:before="120"/>
        <w:ind w:firstLine="709"/>
        <w:jc w:val="both"/>
        <w:rPr>
          <w:b/>
          <w:sz w:val="22"/>
          <w:szCs w:val="22"/>
          <w:lang w:val="bg-BG"/>
        </w:rPr>
      </w:pPr>
      <w:r w:rsidRPr="00B37F23">
        <w:rPr>
          <w:sz w:val="22"/>
          <w:szCs w:val="22"/>
          <w:lang w:val="bg-BG"/>
        </w:rPr>
        <w:tab/>
      </w:r>
      <w:r w:rsidRPr="00B37F23">
        <w:rPr>
          <w:sz w:val="22"/>
          <w:szCs w:val="22"/>
          <w:lang w:val="bg-BG"/>
        </w:rPr>
        <w:tab/>
      </w:r>
      <w:r w:rsidRPr="00B37F23">
        <w:rPr>
          <w:sz w:val="22"/>
          <w:szCs w:val="22"/>
          <w:lang w:val="bg-BG"/>
        </w:rPr>
        <w:tab/>
      </w:r>
      <w:r w:rsidRPr="00B37F23">
        <w:rPr>
          <w:sz w:val="22"/>
          <w:szCs w:val="22"/>
          <w:lang w:val="bg-BG"/>
        </w:rPr>
        <w:tab/>
      </w:r>
      <w:r w:rsidRPr="00B37F23">
        <w:rPr>
          <w:sz w:val="22"/>
          <w:szCs w:val="22"/>
          <w:lang w:val="bg-BG"/>
        </w:rPr>
        <w:tab/>
      </w:r>
      <w:r w:rsidRPr="00B37F23">
        <w:rPr>
          <w:sz w:val="22"/>
          <w:szCs w:val="22"/>
          <w:lang w:val="bg-BG"/>
        </w:rPr>
        <w:tab/>
      </w:r>
      <w:r w:rsidRPr="00B37F23">
        <w:rPr>
          <w:sz w:val="22"/>
          <w:szCs w:val="22"/>
          <w:lang w:val="bg-BG"/>
        </w:rPr>
        <w:tab/>
      </w:r>
      <w:r w:rsidRPr="00B37F23">
        <w:rPr>
          <w:sz w:val="22"/>
          <w:szCs w:val="22"/>
          <w:lang w:val="bg-BG"/>
        </w:rPr>
        <w:tab/>
      </w:r>
      <w:r w:rsidRPr="00B37F23">
        <w:rPr>
          <w:sz w:val="22"/>
          <w:szCs w:val="22"/>
          <w:lang w:val="bg-BG"/>
        </w:rPr>
        <w:tab/>
      </w:r>
      <w:r w:rsidRPr="00B37F23">
        <w:rPr>
          <w:sz w:val="22"/>
          <w:szCs w:val="22"/>
          <w:lang w:val="bg-BG"/>
        </w:rPr>
        <w:tab/>
      </w:r>
      <w:r w:rsidRPr="00B37F23">
        <w:rPr>
          <w:sz w:val="22"/>
          <w:szCs w:val="22"/>
          <w:lang w:val="bg-BG"/>
        </w:rPr>
        <w:tab/>
      </w:r>
      <w:r w:rsidRPr="00B37F23">
        <w:rPr>
          <w:rFonts w:eastAsia="SimSun"/>
          <w:sz w:val="22"/>
          <w:szCs w:val="22"/>
          <w:lang w:val="bg-BG"/>
        </w:rPr>
        <w:t>/хил. лева/</w:t>
      </w:r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30"/>
        <w:gridCol w:w="1260"/>
        <w:gridCol w:w="1260"/>
        <w:gridCol w:w="1260"/>
        <w:gridCol w:w="1260"/>
        <w:gridCol w:w="1260"/>
      </w:tblGrid>
      <w:tr w:rsidR="00C268E7" w:rsidRPr="00B37F23" w:rsidTr="005620BD">
        <w:trPr>
          <w:trHeight w:val="638"/>
        </w:trPr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68E7" w:rsidRPr="00B37F23" w:rsidRDefault="00C268E7" w:rsidP="005620BD">
            <w:pPr>
              <w:jc w:val="both"/>
              <w:rPr>
                <w:b/>
                <w:bCs/>
                <w:sz w:val="22"/>
                <w:szCs w:val="22"/>
              </w:rPr>
            </w:pPr>
            <w:r w:rsidRPr="00B37F23">
              <w:rPr>
                <w:b/>
                <w:bCs/>
                <w:snapToGrid w:val="0"/>
                <w:sz w:val="22"/>
                <w:szCs w:val="22"/>
              </w:rPr>
              <w:t>ПРИХОДИ ОТ ДЕЙНОСТТА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68E7" w:rsidRPr="00B37F23" w:rsidRDefault="00C268E7" w:rsidP="005620BD">
            <w:pPr>
              <w:jc w:val="center"/>
              <w:rPr>
                <w:b/>
                <w:bCs/>
                <w:sz w:val="22"/>
                <w:szCs w:val="22"/>
              </w:rPr>
            </w:pPr>
            <w:r w:rsidRPr="00B37F23">
              <w:rPr>
                <w:rFonts w:eastAsia="SimSun"/>
                <w:b/>
                <w:bCs/>
                <w:sz w:val="22"/>
                <w:szCs w:val="22"/>
              </w:rPr>
              <w:t>отчетен период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68E7" w:rsidRPr="00B37F23" w:rsidRDefault="00C268E7" w:rsidP="005620BD">
            <w:pPr>
              <w:jc w:val="center"/>
              <w:rPr>
                <w:b/>
                <w:bCs/>
                <w:sz w:val="22"/>
                <w:szCs w:val="22"/>
              </w:rPr>
            </w:pPr>
            <w:r w:rsidRPr="00B37F23">
              <w:rPr>
                <w:rFonts w:eastAsia="SimSun"/>
                <w:b/>
                <w:bCs/>
                <w:sz w:val="22"/>
                <w:szCs w:val="22"/>
              </w:rPr>
              <w:t>бизнес план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68E7" w:rsidRPr="00B37F23" w:rsidRDefault="00C268E7" w:rsidP="005620BD">
            <w:pPr>
              <w:jc w:val="center"/>
              <w:rPr>
                <w:b/>
                <w:bCs/>
                <w:sz w:val="22"/>
                <w:szCs w:val="22"/>
              </w:rPr>
            </w:pPr>
            <w:r w:rsidRPr="00B37F23">
              <w:rPr>
                <w:rFonts w:eastAsia="SimSun"/>
                <w:b/>
                <w:bCs/>
                <w:sz w:val="22"/>
                <w:szCs w:val="22"/>
              </w:rPr>
              <w:t>съответен период на предходна година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68E7" w:rsidRPr="00B37F23" w:rsidRDefault="00C268E7" w:rsidP="005620BD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B37F23">
              <w:rPr>
                <w:b/>
                <w:bCs/>
                <w:sz w:val="22"/>
                <w:szCs w:val="22"/>
              </w:rPr>
              <w:t>% отчет 2015/план 2015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268E7" w:rsidRPr="00B37F23" w:rsidRDefault="00C268E7" w:rsidP="005620BD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B37F23">
              <w:rPr>
                <w:b/>
                <w:bCs/>
                <w:sz w:val="22"/>
                <w:szCs w:val="22"/>
              </w:rPr>
              <w:t>% отчет 2015/ отчет 2014</w:t>
            </w:r>
          </w:p>
        </w:tc>
      </w:tr>
      <w:tr w:rsidR="00C268E7" w:rsidRPr="00B37F23" w:rsidTr="005620BD">
        <w:trPr>
          <w:trHeight w:val="319"/>
        </w:trPr>
        <w:tc>
          <w:tcPr>
            <w:tcW w:w="3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68E7" w:rsidRPr="00B37F23" w:rsidRDefault="00C268E7" w:rsidP="005620BD">
            <w:pPr>
              <w:spacing w:before="120" w:after="120" w:line="240" w:lineRule="atLeast"/>
              <w:jc w:val="both"/>
              <w:rPr>
                <w:sz w:val="22"/>
                <w:szCs w:val="22"/>
                <w:lang w:val="bg-BG"/>
              </w:rPr>
            </w:pPr>
            <w:r w:rsidRPr="00B37F23">
              <w:rPr>
                <w:snapToGrid w:val="0"/>
                <w:sz w:val="22"/>
                <w:szCs w:val="22"/>
              </w:rPr>
              <w:t>Нетни приходи</w:t>
            </w:r>
            <w:r w:rsidRPr="00B37F23">
              <w:rPr>
                <w:snapToGrid w:val="0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68E7" w:rsidRPr="006C258D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6C258D">
              <w:rPr>
                <w:color w:val="000000"/>
                <w:sz w:val="22"/>
                <w:szCs w:val="22"/>
              </w:rPr>
              <w:t>50,318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68E7" w:rsidRPr="006C258D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6C258D">
              <w:rPr>
                <w:color w:val="000000"/>
                <w:sz w:val="22"/>
                <w:szCs w:val="22"/>
              </w:rPr>
              <w:t>45,000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68E7" w:rsidRPr="006C258D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6C258D">
              <w:rPr>
                <w:color w:val="000000"/>
                <w:sz w:val="22"/>
                <w:szCs w:val="22"/>
              </w:rPr>
              <w:t>43,601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68E7" w:rsidRPr="006C258D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6C258D">
              <w:rPr>
                <w:color w:val="000000"/>
                <w:sz w:val="22"/>
                <w:szCs w:val="22"/>
              </w:rPr>
              <w:t>11.8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268E7" w:rsidRPr="006C258D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6C258D">
              <w:rPr>
                <w:color w:val="000000"/>
                <w:sz w:val="22"/>
                <w:szCs w:val="22"/>
              </w:rPr>
              <w:t>15.4</w:t>
            </w:r>
          </w:p>
        </w:tc>
      </w:tr>
      <w:tr w:rsidR="00C268E7" w:rsidRPr="00B37F23" w:rsidTr="005620BD">
        <w:trPr>
          <w:trHeight w:val="319"/>
        </w:trPr>
        <w:tc>
          <w:tcPr>
            <w:tcW w:w="3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68E7" w:rsidRPr="00B37F23" w:rsidRDefault="00C268E7" w:rsidP="005620BD">
            <w:pPr>
              <w:spacing w:before="120" w:after="120" w:line="240" w:lineRule="atLeast"/>
              <w:jc w:val="both"/>
              <w:rPr>
                <w:sz w:val="22"/>
                <w:szCs w:val="22"/>
              </w:rPr>
            </w:pPr>
            <w:r w:rsidRPr="00B37F23">
              <w:rPr>
                <w:snapToGrid w:val="0"/>
                <w:sz w:val="22"/>
                <w:szCs w:val="22"/>
              </w:rPr>
              <w:t>Приходи от финансирания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68E7" w:rsidRPr="006C258D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6C258D">
              <w:rPr>
                <w:color w:val="000000"/>
                <w:sz w:val="22"/>
                <w:szCs w:val="22"/>
              </w:rPr>
              <w:t>33,607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68E7" w:rsidRPr="006C258D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6C258D">
              <w:rPr>
                <w:color w:val="000000"/>
                <w:sz w:val="22"/>
                <w:szCs w:val="22"/>
              </w:rPr>
              <w:t>39,705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68E7" w:rsidRPr="006C258D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6C258D">
              <w:rPr>
                <w:color w:val="000000"/>
                <w:sz w:val="22"/>
                <w:szCs w:val="22"/>
              </w:rPr>
              <w:t>32,518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68E7" w:rsidRPr="006C258D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6C258D">
              <w:rPr>
                <w:color w:val="000000"/>
                <w:sz w:val="22"/>
                <w:szCs w:val="22"/>
              </w:rPr>
              <w:t>-15.4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268E7" w:rsidRPr="006C258D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6C258D">
              <w:rPr>
                <w:color w:val="000000"/>
                <w:sz w:val="22"/>
                <w:szCs w:val="22"/>
              </w:rPr>
              <w:t>3.3</w:t>
            </w:r>
          </w:p>
        </w:tc>
      </w:tr>
      <w:tr w:rsidR="00C268E7" w:rsidRPr="00B37F23" w:rsidTr="005620BD">
        <w:trPr>
          <w:trHeight w:val="418"/>
        </w:trPr>
        <w:tc>
          <w:tcPr>
            <w:tcW w:w="3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68E7" w:rsidRPr="00B37F23" w:rsidRDefault="00C268E7" w:rsidP="005620BD">
            <w:pPr>
              <w:spacing w:before="120" w:after="120" w:line="240" w:lineRule="atLeast"/>
              <w:jc w:val="both"/>
              <w:rPr>
                <w:sz w:val="22"/>
                <w:szCs w:val="22"/>
              </w:rPr>
            </w:pPr>
            <w:r w:rsidRPr="00B37F23">
              <w:rPr>
                <w:snapToGrid w:val="0"/>
                <w:sz w:val="22"/>
                <w:szCs w:val="22"/>
              </w:rPr>
              <w:t>Финансови</w:t>
            </w:r>
            <w:r w:rsidRPr="00B37F23">
              <w:rPr>
                <w:snapToGrid w:val="0"/>
                <w:sz w:val="22"/>
                <w:szCs w:val="22"/>
                <w:lang w:val="bg-BG"/>
              </w:rPr>
              <w:t xml:space="preserve"> </w:t>
            </w:r>
            <w:r w:rsidRPr="00B37F23">
              <w:rPr>
                <w:snapToGrid w:val="0"/>
                <w:sz w:val="22"/>
                <w:szCs w:val="22"/>
              </w:rPr>
              <w:t>приходи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68E7" w:rsidRPr="006C258D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6C258D">
              <w:rPr>
                <w:color w:val="000000"/>
                <w:sz w:val="22"/>
                <w:szCs w:val="22"/>
              </w:rPr>
              <w:t>1,081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68E7" w:rsidRPr="006C258D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6C258D">
              <w:rPr>
                <w:color w:val="000000"/>
                <w:sz w:val="22"/>
                <w:szCs w:val="22"/>
              </w:rPr>
              <w:t>282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68E7" w:rsidRPr="006C258D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6C258D">
              <w:rPr>
                <w:color w:val="000000"/>
                <w:sz w:val="22"/>
                <w:szCs w:val="22"/>
              </w:rPr>
              <w:t>1,767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68E7" w:rsidRPr="006C258D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6C258D">
              <w:rPr>
                <w:color w:val="000000"/>
                <w:sz w:val="22"/>
                <w:szCs w:val="22"/>
              </w:rPr>
              <w:t>283.3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268E7" w:rsidRPr="006C258D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6C258D">
              <w:rPr>
                <w:color w:val="000000"/>
                <w:sz w:val="22"/>
                <w:szCs w:val="22"/>
              </w:rPr>
              <w:t>-38.8</w:t>
            </w:r>
          </w:p>
        </w:tc>
      </w:tr>
      <w:tr w:rsidR="00C268E7" w:rsidRPr="00B37F23" w:rsidTr="005620BD">
        <w:trPr>
          <w:trHeight w:val="418"/>
        </w:trPr>
        <w:tc>
          <w:tcPr>
            <w:tcW w:w="3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68E7" w:rsidRPr="00B37F23" w:rsidRDefault="00C268E7" w:rsidP="005620BD">
            <w:pPr>
              <w:spacing w:before="120" w:after="120" w:line="240" w:lineRule="atLeast"/>
              <w:jc w:val="both"/>
              <w:rPr>
                <w:bCs/>
                <w:snapToGrid w:val="0"/>
                <w:sz w:val="22"/>
                <w:szCs w:val="22"/>
                <w:lang w:val="bg-BG"/>
              </w:rPr>
            </w:pPr>
            <w:r w:rsidRPr="00B37F23">
              <w:rPr>
                <w:bCs/>
                <w:snapToGrid w:val="0"/>
                <w:sz w:val="22"/>
                <w:szCs w:val="22"/>
                <w:lang w:val="bg-BG"/>
              </w:rPr>
              <w:t>Извънредни приходи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68E7" w:rsidRPr="006C258D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6C25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68E7" w:rsidRPr="006C258D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6C2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68E7" w:rsidRPr="006C258D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6C258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68E7" w:rsidRPr="006C258D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6C2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268E7" w:rsidRPr="006C258D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6C258D">
              <w:rPr>
                <w:color w:val="000000"/>
                <w:sz w:val="22"/>
                <w:szCs w:val="22"/>
              </w:rPr>
              <w:t>-66.7</w:t>
            </w:r>
          </w:p>
        </w:tc>
      </w:tr>
      <w:tr w:rsidR="00C268E7" w:rsidRPr="00B37F23" w:rsidTr="005620BD">
        <w:trPr>
          <w:trHeight w:val="418"/>
        </w:trPr>
        <w:tc>
          <w:tcPr>
            <w:tcW w:w="3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68E7" w:rsidRPr="00B37F23" w:rsidRDefault="00C268E7" w:rsidP="005620BD">
            <w:pPr>
              <w:spacing w:before="120" w:after="120" w:line="240" w:lineRule="atLeast"/>
              <w:jc w:val="both"/>
              <w:rPr>
                <w:b/>
                <w:bCs/>
                <w:sz w:val="22"/>
                <w:szCs w:val="22"/>
              </w:rPr>
            </w:pPr>
            <w:r w:rsidRPr="00B37F23">
              <w:rPr>
                <w:b/>
                <w:bCs/>
                <w:snapToGrid w:val="0"/>
                <w:sz w:val="22"/>
                <w:szCs w:val="22"/>
              </w:rPr>
              <w:t>Общо приходи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68E7" w:rsidRPr="006C258D" w:rsidRDefault="00C268E7" w:rsidP="001D1F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258D">
              <w:rPr>
                <w:b/>
                <w:bCs/>
                <w:color w:val="000000"/>
                <w:sz w:val="22"/>
                <w:szCs w:val="22"/>
              </w:rPr>
              <w:t>85,007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68E7" w:rsidRPr="006C258D" w:rsidRDefault="00C268E7" w:rsidP="001D1F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258D">
              <w:rPr>
                <w:b/>
                <w:bCs/>
                <w:color w:val="000000"/>
                <w:sz w:val="22"/>
                <w:szCs w:val="22"/>
              </w:rPr>
              <w:t>84,987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68E7" w:rsidRPr="006C258D" w:rsidRDefault="00C268E7" w:rsidP="001D1F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258D">
              <w:rPr>
                <w:b/>
                <w:bCs/>
                <w:color w:val="000000"/>
                <w:sz w:val="22"/>
                <w:szCs w:val="22"/>
              </w:rPr>
              <w:t>77,889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68E7" w:rsidRPr="006C258D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6C258D">
              <w:rPr>
                <w:color w:val="000000"/>
                <w:sz w:val="22"/>
                <w:szCs w:val="22"/>
              </w:rPr>
              <w:t>0.02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268E7" w:rsidRPr="006C258D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6C258D">
              <w:rPr>
                <w:color w:val="000000"/>
                <w:sz w:val="22"/>
                <w:szCs w:val="22"/>
              </w:rPr>
              <w:t>9.1</w:t>
            </w:r>
          </w:p>
        </w:tc>
      </w:tr>
    </w:tbl>
    <w:p w:rsidR="00C268E7" w:rsidRPr="00B37F23" w:rsidRDefault="00C268E7" w:rsidP="002365F8">
      <w:pPr>
        <w:pStyle w:val="BodyText"/>
        <w:spacing w:before="60" w:after="60" w:line="240" w:lineRule="atLeast"/>
        <w:ind w:firstLine="708"/>
        <w:jc w:val="both"/>
        <w:rPr>
          <w:rFonts w:ascii="Times New Roman" w:hAnsi="Times New Roman"/>
          <w:szCs w:val="22"/>
        </w:rPr>
      </w:pPr>
    </w:p>
    <w:p w:rsidR="00C268E7" w:rsidRPr="00B37F23" w:rsidRDefault="00C268E7" w:rsidP="004D07EA">
      <w:pPr>
        <w:pStyle w:val="BodyText"/>
        <w:spacing w:after="60" w:line="240" w:lineRule="atLeast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B37F23">
        <w:rPr>
          <w:rFonts w:ascii="Times New Roman" w:hAnsi="Times New Roman"/>
          <w:sz w:val="24"/>
          <w:szCs w:val="24"/>
        </w:rPr>
        <w:t>В сравнение с плана за 20</w:t>
      </w:r>
      <w:r w:rsidRPr="00B37F23">
        <w:rPr>
          <w:rFonts w:ascii="Times New Roman" w:hAnsi="Times New Roman"/>
          <w:sz w:val="24"/>
          <w:szCs w:val="24"/>
          <w:lang w:val="en-US"/>
        </w:rPr>
        <w:t>1</w:t>
      </w:r>
      <w:r w:rsidRPr="00B37F23">
        <w:rPr>
          <w:rFonts w:ascii="Times New Roman" w:hAnsi="Times New Roman"/>
          <w:sz w:val="24"/>
          <w:szCs w:val="24"/>
        </w:rPr>
        <w:t>5 година и отчета за 2014 година е отчетено:</w:t>
      </w:r>
    </w:p>
    <w:p w:rsidR="00C268E7" w:rsidRPr="00B37F23" w:rsidRDefault="00C268E7" w:rsidP="004D07EA">
      <w:pPr>
        <w:pStyle w:val="BodyText"/>
        <w:numPr>
          <w:ilvl w:val="0"/>
          <w:numId w:val="17"/>
        </w:numPr>
        <w:tabs>
          <w:tab w:val="num" w:pos="1776"/>
        </w:tabs>
        <w:spacing w:after="60" w:line="240" w:lineRule="atLeast"/>
        <w:jc w:val="both"/>
        <w:rPr>
          <w:rFonts w:ascii="Times New Roman" w:hAnsi="Times New Roman"/>
          <w:sz w:val="24"/>
          <w:szCs w:val="24"/>
        </w:rPr>
      </w:pPr>
      <w:r w:rsidRPr="00B37F23">
        <w:rPr>
          <w:rFonts w:ascii="Times New Roman" w:hAnsi="Times New Roman"/>
          <w:sz w:val="24"/>
          <w:szCs w:val="24"/>
        </w:rPr>
        <w:lastRenderedPageBreak/>
        <w:t>Преизпълнение на планирани нетни приходи от продажби в размер на 5 318 хил. лв. /ръст 11.8 %/ и увеличение спрямо отчета за същия период на 2014 година в размер на 6 717хил. лв. /ръст 15.4%/.;</w:t>
      </w:r>
    </w:p>
    <w:p w:rsidR="00C268E7" w:rsidRPr="00B37F23" w:rsidRDefault="00C268E7" w:rsidP="004D07EA">
      <w:pPr>
        <w:pStyle w:val="BodyText"/>
        <w:numPr>
          <w:ilvl w:val="0"/>
          <w:numId w:val="17"/>
        </w:numPr>
        <w:tabs>
          <w:tab w:val="num" w:pos="1776"/>
        </w:tabs>
        <w:spacing w:after="60" w:line="240" w:lineRule="atLeast"/>
        <w:jc w:val="both"/>
        <w:rPr>
          <w:rFonts w:ascii="Times New Roman" w:hAnsi="Times New Roman"/>
          <w:sz w:val="24"/>
          <w:szCs w:val="24"/>
        </w:rPr>
      </w:pPr>
      <w:r w:rsidRPr="00B37F23">
        <w:rPr>
          <w:rFonts w:ascii="Times New Roman" w:hAnsi="Times New Roman"/>
          <w:sz w:val="24"/>
          <w:szCs w:val="24"/>
        </w:rPr>
        <w:t>Неизпълнение на планирани приходи за покриване на разходи, финансирани със средства от летищни такси в размер на 6 098 хил.лв. и увеличение с  1 089 хил. лв. спрямо отчета за същия период на 2014 година.</w:t>
      </w:r>
      <w:r w:rsidRPr="00B37F23">
        <w:rPr>
          <w:rFonts w:ascii="Times New Roman" w:hAnsi="Times New Roman"/>
          <w:color w:val="000000"/>
          <w:sz w:val="24"/>
          <w:szCs w:val="24"/>
        </w:rPr>
        <w:t xml:space="preserve"> Неизпълнението на плана е от отчетени в по-малко разходи за материали, външни услуги, работна заплата, разходи за социални осигуровки и надбавки и други разходи.</w:t>
      </w:r>
    </w:p>
    <w:p w:rsidR="00C268E7" w:rsidRPr="00B37F23" w:rsidRDefault="00C268E7" w:rsidP="004D07EA">
      <w:pPr>
        <w:pStyle w:val="BodyText"/>
        <w:numPr>
          <w:ilvl w:val="0"/>
          <w:numId w:val="17"/>
        </w:numPr>
        <w:tabs>
          <w:tab w:val="num" w:pos="1776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B37F23">
        <w:rPr>
          <w:rFonts w:ascii="Times New Roman" w:hAnsi="Times New Roman"/>
          <w:sz w:val="24"/>
          <w:szCs w:val="24"/>
        </w:rPr>
        <w:t>Преизпълнение на планирани финансови приходи в размер на  799 хил. лв. от отчетени в повече приходи от положителна промяна на валутни курсове и намаление спрямо предходната година в размер на 686 хил.лв. от отчетени в по-малко лихви по депозити.</w:t>
      </w:r>
    </w:p>
    <w:p w:rsidR="00C268E7" w:rsidRPr="00B37F23" w:rsidRDefault="00C268E7" w:rsidP="004D07EA">
      <w:pPr>
        <w:pStyle w:val="BodyText"/>
        <w:tabs>
          <w:tab w:val="num" w:pos="1776"/>
        </w:tabs>
        <w:spacing w:line="240" w:lineRule="atLeast"/>
        <w:ind w:left="900"/>
        <w:jc w:val="both"/>
        <w:rPr>
          <w:rFonts w:ascii="Times New Roman" w:hAnsi="Times New Roman"/>
          <w:sz w:val="24"/>
          <w:szCs w:val="24"/>
        </w:rPr>
      </w:pPr>
    </w:p>
    <w:p w:rsidR="00C268E7" w:rsidRPr="00B37F23" w:rsidRDefault="00C268E7" w:rsidP="002365F8">
      <w:pPr>
        <w:pStyle w:val="BodyText"/>
        <w:ind w:left="106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37F23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 xml:space="preserve">I.2. </w:t>
      </w:r>
      <w:r w:rsidRPr="00B37F23">
        <w:rPr>
          <w:rFonts w:ascii="Times New Roman" w:hAnsi="Times New Roman"/>
          <w:b/>
          <w:i/>
          <w:sz w:val="24"/>
          <w:szCs w:val="24"/>
          <w:u w:val="single"/>
        </w:rPr>
        <w:t>Разходи</w:t>
      </w:r>
    </w:p>
    <w:p w:rsidR="00C268E7" w:rsidRPr="00B37F23" w:rsidRDefault="00C268E7" w:rsidP="00B37F23">
      <w:pPr>
        <w:pStyle w:val="BodyText"/>
        <w:ind w:firstLine="720"/>
        <w:jc w:val="both"/>
        <w:rPr>
          <w:rFonts w:ascii="Times New Roman" w:hAnsi="Times New Roman"/>
          <w:sz w:val="24"/>
          <w:szCs w:val="24"/>
        </w:rPr>
      </w:pPr>
      <w:r w:rsidRPr="00B37F23">
        <w:rPr>
          <w:rFonts w:ascii="Times New Roman" w:hAnsi="Times New Roman"/>
          <w:sz w:val="24"/>
          <w:szCs w:val="24"/>
        </w:rPr>
        <w:t>За деветте месеца от началото на 2015 година са отчетени разходи в размер на 79 951 хил. лв. – с 2 244 хил. лв. по-малко от планираните и с 6 476 хил. лв. повече от отчетените за същия период на 2014 година.</w:t>
      </w:r>
    </w:p>
    <w:p w:rsidR="00C268E7" w:rsidRPr="00B37F23" w:rsidRDefault="00C268E7" w:rsidP="00B37F23">
      <w:pPr>
        <w:pStyle w:val="BodyText"/>
        <w:ind w:firstLine="720"/>
        <w:jc w:val="both"/>
        <w:rPr>
          <w:rFonts w:ascii="Times New Roman" w:hAnsi="Times New Roman"/>
          <w:szCs w:val="22"/>
        </w:rPr>
      </w:pPr>
    </w:p>
    <w:p w:rsidR="00C268E7" w:rsidRPr="00B37F23" w:rsidRDefault="00C268E7" w:rsidP="00B37F23">
      <w:pPr>
        <w:pStyle w:val="BodyText"/>
        <w:ind w:firstLine="720"/>
        <w:jc w:val="both"/>
        <w:rPr>
          <w:rFonts w:ascii="Times New Roman" w:hAnsi="Times New Roman"/>
          <w:szCs w:val="22"/>
          <w:lang w:val="en-US"/>
        </w:rPr>
      </w:pPr>
      <w:r w:rsidRPr="00B37F23">
        <w:rPr>
          <w:rFonts w:ascii="Times New Roman" w:hAnsi="Times New Roman"/>
          <w:szCs w:val="22"/>
        </w:rPr>
        <w:tab/>
      </w:r>
      <w:r w:rsidRPr="00B37F23">
        <w:rPr>
          <w:rFonts w:ascii="Times New Roman" w:hAnsi="Times New Roman"/>
          <w:szCs w:val="22"/>
        </w:rPr>
        <w:tab/>
      </w:r>
      <w:r w:rsidRPr="00B37F23">
        <w:rPr>
          <w:rFonts w:ascii="Times New Roman" w:hAnsi="Times New Roman"/>
          <w:szCs w:val="22"/>
        </w:rPr>
        <w:tab/>
      </w:r>
      <w:r w:rsidRPr="00B37F23">
        <w:rPr>
          <w:rFonts w:ascii="Times New Roman" w:hAnsi="Times New Roman"/>
          <w:szCs w:val="22"/>
        </w:rPr>
        <w:tab/>
      </w:r>
      <w:r w:rsidRPr="00B37F23">
        <w:rPr>
          <w:rFonts w:ascii="Times New Roman" w:hAnsi="Times New Roman"/>
          <w:szCs w:val="22"/>
        </w:rPr>
        <w:tab/>
      </w:r>
      <w:r w:rsidRPr="00B37F23">
        <w:rPr>
          <w:rFonts w:ascii="Times New Roman" w:hAnsi="Times New Roman"/>
          <w:szCs w:val="22"/>
        </w:rPr>
        <w:tab/>
      </w:r>
      <w:r w:rsidRPr="00B37F23">
        <w:rPr>
          <w:rFonts w:ascii="Times New Roman" w:hAnsi="Times New Roman"/>
          <w:szCs w:val="22"/>
        </w:rPr>
        <w:tab/>
      </w:r>
      <w:r w:rsidRPr="00B37F23">
        <w:rPr>
          <w:rFonts w:ascii="Times New Roman" w:hAnsi="Times New Roman"/>
          <w:szCs w:val="22"/>
        </w:rPr>
        <w:tab/>
      </w:r>
      <w:r w:rsidRPr="00B37F23">
        <w:rPr>
          <w:rFonts w:ascii="Times New Roman" w:hAnsi="Times New Roman"/>
          <w:szCs w:val="22"/>
        </w:rPr>
        <w:tab/>
      </w:r>
      <w:r w:rsidRPr="00B37F23">
        <w:rPr>
          <w:rFonts w:ascii="Times New Roman" w:eastAsia="SimSun" w:hAnsi="Times New Roman"/>
          <w:szCs w:val="22"/>
        </w:rPr>
        <w:t>/хил. лева/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90"/>
        <w:gridCol w:w="1260"/>
        <w:gridCol w:w="1080"/>
        <w:gridCol w:w="1440"/>
        <w:gridCol w:w="1080"/>
        <w:gridCol w:w="1080"/>
      </w:tblGrid>
      <w:tr w:rsidR="00C268E7" w:rsidRPr="00B37F23" w:rsidTr="005620BD">
        <w:trPr>
          <w:trHeight w:val="638"/>
        </w:trPr>
        <w:tc>
          <w:tcPr>
            <w:tcW w:w="3990" w:type="dxa"/>
            <w:vAlign w:val="center"/>
          </w:tcPr>
          <w:p w:rsidR="00C268E7" w:rsidRPr="00B37F23" w:rsidRDefault="002B3C65" w:rsidP="005620BD">
            <w:pPr>
              <w:jc w:val="both"/>
              <w:rPr>
                <w:b/>
                <w:snapToGrid w:val="0"/>
                <w:sz w:val="22"/>
                <w:szCs w:val="22"/>
                <w:lang w:val="bg-BG"/>
              </w:rPr>
            </w:pPr>
            <w:r>
              <w:rPr>
                <w:b/>
                <w:snapToGrid w:val="0"/>
                <w:sz w:val="22"/>
                <w:szCs w:val="22"/>
                <w:lang w:val="bg-BG"/>
              </w:rPr>
              <w:pict>
                <v:rect id="_x0000_i1025" style="width:0;height:1.5pt" o:hralign="center" o:hrstd="t" o:hr="t" fillcolor="gray" stroked="f"/>
              </w:pict>
            </w:r>
          </w:p>
        </w:tc>
        <w:tc>
          <w:tcPr>
            <w:tcW w:w="1260" w:type="dxa"/>
            <w:vAlign w:val="bottom"/>
          </w:tcPr>
          <w:p w:rsidR="00C268E7" w:rsidRPr="00B37F23" w:rsidRDefault="00C268E7" w:rsidP="005620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 xml:space="preserve">отчетен период </w:t>
            </w:r>
          </w:p>
        </w:tc>
        <w:tc>
          <w:tcPr>
            <w:tcW w:w="1080" w:type="dxa"/>
            <w:vAlign w:val="bottom"/>
          </w:tcPr>
          <w:p w:rsidR="00C268E7" w:rsidRPr="00B37F23" w:rsidRDefault="00C268E7" w:rsidP="005620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 xml:space="preserve">бизнес план </w:t>
            </w:r>
          </w:p>
        </w:tc>
        <w:tc>
          <w:tcPr>
            <w:tcW w:w="1440" w:type="dxa"/>
            <w:vAlign w:val="bottom"/>
          </w:tcPr>
          <w:p w:rsidR="00C268E7" w:rsidRPr="00B37F23" w:rsidRDefault="00C268E7" w:rsidP="005620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 xml:space="preserve">съответен период на предходна година </w:t>
            </w:r>
          </w:p>
        </w:tc>
        <w:tc>
          <w:tcPr>
            <w:tcW w:w="1080" w:type="dxa"/>
            <w:vAlign w:val="bottom"/>
          </w:tcPr>
          <w:p w:rsidR="00C268E7" w:rsidRPr="00B37F23" w:rsidRDefault="00C268E7" w:rsidP="005620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>% отчет 2015/план 2015</w:t>
            </w:r>
          </w:p>
        </w:tc>
        <w:tc>
          <w:tcPr>
            <w:tcW w:w="1080" w:type="dxa"/>
            <w:vAlign w:val="bottom"/>
          </w:tcPr>
          <w:p w:rsidR="00C268E7" w:rsidRPr="00B37F23" w:rsidRDefault="00C268E7" w:rsidP="005620B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>% отчет 2015/ отчет 2014</w:t>
            </w:r>
          </w:p>
        </w:tc>
      </w:tr>
      <w:tr w:rsidR="00C268E7" w:rsidRPr="00B37F23" w:rsidTr="005620BD">
        <w:trPr>
          <w:trHeight w:val="319"/>
        </w:trPr>
        <w:tc>
          <w:tcPr>
            <w:tcW w:w="3990" w:type="dxa"/>
            <w:vAlign w:val="bottom"/>
          </w:tcPr>
          <w:p w:rsidR="00C268E7" w:rsidRPr="00B37F23" w:rsidRDefault="00C268E7" w:rsidP="005620BD">
            <w:pPr>
              <w:spacing w:before="120" w:after="120" w:line="240" w:lineRule="atLeast"/>
              <w:jc w:val="both"/>
              <w:rPr>
                <w:b/>
                <w:sz w:val="22"/>
                <w:szCs w:val="22"/>
              </w:rPr>
            </w:pPr>
            <w:r w:rsidRPr="00B37F23">
              <w:rPr>
                <w:b/>
                <w:snapToGrid w:val="0"/>
                <w:sz w:val="22"/>
                <w:szCs w:val="22"/>
              </w:rPr>
              <w:t>Разходи за дейността</w:t>
            </w:r>
          </w:p>
        </w:tc>
        <w:tc>
          <w:tcPr>
            <w:tcW w:w="126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45,713</w:t>
            </w:r>
          </w:p>
        </w:tc>
        <w:tc>
          <w:tcPr>
            <w:tcW w:w="108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42,152</w:t>
            </w:r>
          </w:p>
        </w:tc>
        <w:tc>
          <w:tcPr>
            <w:tcW w:w="144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40,620</w:t>
            </w:r>
          </w:p>
        </w:tc>
        <w:tc>
          <w:tcPr>
            <w:tcW w:w="108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8.4</w:t>
            </w:r>
          </w:p>
        </w:tc>
        <w:tc>
          <w:tcPr>
            <w:tcW w:w="108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12.5</w:t>
            </w:r>
          </w:p>
        </w:tc>
      </w:tr>
      <w:tr w:rsidR="00C268E7" w:rsidRPr="00B37F23" w:rsidTr="005620BD">
        <w:trPr>
          <w:trHeight w:val="319"/>
        </w:trPr>
        <w:tc>
          <w:tcPr>
            <w:tcW w:w="3990" w:type="dxa"/>
            <w:vAlign w:val="bottom"/>
          </w:tcPr>
          <w:p w:rsidR="00C268E7" w:rsidRPr="00B37F23" w:rsidRDefault="00C268E7" w:rsidP="005620BD">
            <w:pPr>
              <w:spacing w:before="120" w:after="120" w:line="240" w:lineRule="atLeast"/>
              <w:jc w:val="both"/>
              <w:rPr>
                <w:sz w:val="22"/>
                <w:szCs w:val="22"/>
              </w:rPr>
            </w:pPr>
            <w:r w:rsidRPr="00B37F23">
              <w:rPr>
                <w:snapToGrid w:val="0"/>
                <w:sz w:val="22"/>
                <w:szCs w:val="22"/>
              </w:rPr>
              <w:t>в това число:</w:t>
            </w:r>
          </w:p>
        </w:tc>
        <w:tc>
          <w:tcPr>
            <w:tcW w:w="1260" w:type="dxa"/>
            <w:vAlign w:val="bottom"/>
          </w:tcPr>
          <w:p w:rsidR="00C268E7" w:rsidRPr="00B37F23" w:rsidRDefault="00C268E7" w:rsidP="005620B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bottom"/>
          </w:tcPr>
          <w:p w:rsidR="00C268E7" w:rsidRPr="00B37F23" w:rsidRDefault="00C268E7" w:rsidP="005620B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bottom"/>
          </w:tcPr>
          <w:p w:rsidR="00C268E7" w:rsidRPr="00B37F23" w:rsidRDefault="00C268E7" w:rsidP="005620B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bottom"/>
          </w:tcPr>
          <w:p w:rsidR="00C268E7" w:rsidRPr="00B37F23" w:rsidRDefault="00C268E7" w:rsidP="005620B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bottom"/>
          </w:tcPr>
          <w:p w:rsidR="00C268E7" w:rsidRPr="00B37F23" w:rsidRDefault="00C268E7" w:rsidP="005620B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268E7" w:rsidRPr="00B37F23" w:rsidTr="005620BD">
        <w:trPr>
          <w:trHeight w:val="319"/>
        </w:trPr>
        <w:tc>
          <w:tcPr>
            <w:tcW w:w="3990" w:type="dxa"/>
            <w:vAlign w:val="bottom"/>
          </w:tcPr>
          <w:p w:rsidR="00C268E7" w:rsidRPr="00B37F23" w:rsidRDefault="00C268E7" w:rsidP="005620BD">
            <w:pPr>
              <w:spacing w:before="120" w:after="120" w:line="240" w:lineRule="atLeast"/>
              <w:jc w:val="both"/>
              <w:rPr>
                <w:sz w:val="22"/>
                <w:szCs w:val="22"/>
              </w:rPr>
            </w:pPr>
            <w:r w:rsidRPr="00B37F23">
              <w:rPr>
                <w:snapToGrid w:val="0"/>
                <w:sz w:val="22"/>
                <w:szCs w:val="22"/>
              </w:rPr>
              <w:t>експлоатационни разходи</w:t>
            </w:r>
          </w:p>
        </w:tc>
        <w:tc>
          <w:tcPr>
            <w:tcW w:w="126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21,266</w:t>
            </w:r>
          </w:p>
        </w:tc>
        <w:tc>
          <w:tcPr>
            <w:tcW w:w="108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22,062</w:t>
            </w:r>
          </w:p>
        </w:tc>
        <w:tc>
          <w:tcPr>
            <w:tcW w:w="144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21,360</w:t>
            </w:r>
          </w:p>
        </w:tc>
        <w:tc>
          <w:tcPr>
            <w:tcW w:w="108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-3.6</w:t>
            </w:r>
          </w:p>
        </w:tc>
        <w:tc>
          <w:tcPr>
            <w:tcW w:w="108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-0.4</w:t>
            </w:r>
          </w:p>
        </w:tc>
      </w:tr>
      <w:tr w:rsidR="00C268E7" w:rsidRPr="00B37F23" w:rsidTr="005620BD">
        <w:trPr>
          <w:trHeight w:val="319"/>
        </w:trPr>
        <w:tc>
          <w:tcPr>
            <w:tcW w:w="3990" w:type="dxa"/>
            <w:vAlign w:val="bottom"/>
          </w:tcPr>
          <w:p w:rsidR="00C268E7" w:rsidRPr="00B37F23" w:rsidRDefault="00C268E7" w:rsidP="005620BD">
            <w:pPr>
              <w:spacing w:before="120" w:after="120" w:line="240" w:lineRule="atLeast"/>
              <w:jc w:val="both"/>
              <w:rPr>
                <w:snapToGrid w:val="0"/>
                <w:sz w:val="22"/>
                <w:szCs w:val="22"/>
                <w:lang w:val="bg-BG"/>
              </w:rPr>
            </w:pPr>
            <w:r w:rsidRPr="00B37F23">
              <w:rPr>
                <w:snapToGrid w:val="0"/>
                <w:sz w:val="22"/>
                <w:szCs w:val="22"/>
              </w:rPr>
              <w:t>отчетна стойност на продадените стоки</w:t>
            </w:r>
          </w:p>
        </w:tc>
        <w:tc>
          <w:tcPr>
            <w:tcW w:w="126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24,447</w:t>
            </w:r>
          </w:p>
        </w:tc>
        <w:tc>
          <w:tcPr>
            <w:tcW w:w="108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20,090</w:t>
            </w:r>
          </w:p>
        </w:tc>
        <w:tc>
          <w:tcPr>
            <w:tcW w:w="144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19,260</w:t>
            </w:r>
          </w:p>
        </w:tc>
        <w:tc>
          <w:tcPr>
            <w:tcW w:w="108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21.7</w:t>
            </w:r>
          </w:p>
        </w:tc>
        <w:tc>
          <w:tcPr>
            <w:tcW w:w="108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26.9</w:t>
            </w:r>
          </w:p>
        </w:tc>
      </w:tr>
      <w:tr w:rsidR="00C268E7" w:rsidRPr="00B37F23" w:rsidTr="005620BD">
        <w:trPr>
          <w:trHeight w:val="319"/>
        </w:trPr>
        <w:tc>
          <w:tcPr>
            <w:tcW w:w="3990" w:type="dxa"/>
            <w:vAlign w:val="bottom"/>
          </w:tcPr>
          <w:p w:rsidR="00C268E7" w:rsidRPr="00B37F23" w:rsidRDefault="00C268E7" w:rsidP="005620BD">
            <w:pPr>
              <w:spacing w:before="120" w:after="120" w:line="240" w:lineRule="atLeast"/>
              <w:jc w:val="both"/>
              <w:rPr>
                <w:sz w:val="22"/>
                <w:szCs w:val="22"/>
              </w:rPr>
            </w:pPr>
            <w:r w:rsidRPr="00B37F23">
              <w:rPr>
                <w:snapToGrid w:val="0"/>
                <w:sz w:val="22"/>
                <w:szCs w:val="22"/>
              </w:rPr>
              <w:t>Финансирания</w:t>
            </w:r>
          </w:p>
        </w:tc>
        <w:tc>
          <w:tcPr>
            <w:tcW w:w="126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33,607</w:t>
            </w:r>
          </w:p>
        </w:tc>
        <w:tc>
          <w:tcPr>
            <w:tcW w:w="108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39,705</w:t>
            </w:r>
          </w:p>
        </w:tc>
        <w:tc>
          <w:tcPr>
            <w:tcW w:w="144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32,518</w:t>
            </w:r>
          </w:p>
        </w:tc>
        <w:tc>
          <w:tcPr>
            <w:tcW w:w="108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-15.4</w:t>
            </w:r>
          </w:p>
        </w:tc>
        <w:tc>
          <w:tcPr>
            <w:tcW w:w="108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3.3</w:t>
            </w:r>
          </w:p>
        </w:tc>
      </w:tr>
      <w:tr w:rsidR="00C268E7" w:rsidRPr="00B37F23" w:rsidTr="005620BD">
        <w:trPr>
          <w:trHeight w:val="319"/>
        </w:trPr>
        <w:tc>
          <w:tcPr>
            <w:tcW w:w="3990" w:type="dxa"/>
            <w:vAlign w:val="bottom"/>
          </w:tcPr>
          <w:p w:rsidR="00C268E7" w:rsidRPr="00B37F23" w:rsidRDefault="00C268E7" w:rsidP="005620BD">
            <w:pPr>
              <w:spacing w:before="120" w:after="120" w:line="240" w:lineRule="atLeast"/>
              <w:jc w:val="both"/>
              <w:rPr>
                <w:sz w:val="22"/>
                <w:szCs w:val="22"/>
              </w:rPr>
            </w:pPr>
            <w:r w:rsidRPr="00B37F23">
              <w:rPr>
                <w:snapToGrid w:val="0"/>
                <w:sz w:val="22"/>
                <w:szCs w:val="22"/>
              </w:rPr>
              <w:t>Финансови разходи</w:t>
            </w:r>
          </w:p>
        </w:tc>
        <w:tc>
          <w:tcPr>
            <w:tcW w:w="126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631</w:t>
            </w:r>
          </w:p>
        </w:tc>
        <w:tc>
          <w:tcPr>
            <w:tcW w:w="108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338</w:t>
            </w:r>
          </w:p>
        </w:tc>
        <w:tc>
          <w:tcPr>
            <w:tcW w:w="144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337</w:t>
            </w:r>
          </w:p>
        </w:tc>
        <w:tc>
          <w:tcPr>
            <w:tcW w:w="108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86.7</w:t>
            </w:r>
          </w:p>
        </w:tc>
        <w:tc>
          <w:tcPr>
            <w:tcW w:w="108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87.2</w:t>
            </w:r>
          </w:p>
        </w:tc>
      </w:tr>
      <w:tr w:rsidR="00C268E7" w:rsidRPr="00B37F23" w:rsidTr="005620BD">
        <w:trPr>
          <w:trHeight w:val="319"/>
        </w:trPr>
        <w:tc>
          <w:tcPr>
            <w:tcW w:w="3990" w:type="dxa"/>
            <w:vAlign w:val="bottom"/>
          </w:tcPr>
          <w:p w:rsidR="00C268E7" w:rsidRPr="00B37F23" w:rsidRDefault="00C268E7" w:rsidP="005620BD">
            <w:pPr>
              <w:spacing w:before="120" w:after="120" w:line="240" w:lineRule="atLeast"/>
              <w:jc w:val="both"/>
              <w:rPr>
                <w:b/>
                <w:bCs/>
                <w:sz w:val="22"/>
                <w:szCs w:val="22"/>
              </w:rPr>
            </w:pPr>
            <w:r w:rsidRPr="00B37F23">
              <w:rPr>
                <w:b/>
                <w:bCs/>
                <w:snapToGrid w:val="0"/>
                <w:sz w:val="22"/>
                <w:szCs w:val="22"/>
              </w:rPr>
              <w:t>Общо разходи</w:t>
            </w:r>
          </w:p>
        </w:tc>
        <w:tc>
          <w:tcPr>
            <w:tcW w:w="1260" w:type="dxa"/>
            <w:vAlign w:val="bottom"/>
          </w:tcPr>
          <w:p w:rsidR="00C268E7" w:rsidRPr="00B37F23" w:rsidRDefault="00C26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>79,951</w:t>
            </w:r>
          </w:p>
        </w:tc>
        <w:tc>
          <w:tcPr>
            <w:tcW w:w="1080" w:type="dxa"/>
            <w:vAlign w:val="bottom"/>
          </w:tcPr>
          <w:p w:rsidR="00C268E7" w:rsidRPr="00B37F23" w:rsidRDefault="00C26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>82,195</w:t>
            </w:r>
          </w:p>
        </w:tc>
        <w:tc>
          <w:tcPr>
            <w:tcW w:w="1440" w:type="dxa"/>
            <w:vAlign w:val="bottom"/>
          </w:tcPr>
          <w:p w:rsidR="00C268E7" w:rsidRPr="00B37F23" w:rsidRDefault="00C26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>73,475</w:t>
            </w:r>
          </w:p>
        </w:tc>
        <w:tc>
          <w:tcPr>
            <w:tcW w:w="1080" w:type="dxa"/>
            <w:vAlign w:val="bottom"/>
          </w:tcPr>
          <w:p w:rsidR="00C268E7" w:rsidRPr="00B37F23" w:rsidRDefault="00C26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>-2.7</w:t>
            </w:r>
          </w:p>
        </w:tc>
        <w:tc>
          <w:tcPr>
            <w:tcW w:w="1080" w:type="dxa"/>
            <w:vAlign w:val="bottom"/>
          </w:tcPr>
          <w:p w:rsidR="00C268E7" w:rsidRPr="00B37F23" w:rsidRDefault="00C268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>8.8</w:t>
            </w:r>
          </w:p>
        </w:tc>
      </w:tr>
    </w:tbl>
    <w:p w:rsidR="00C268E7" w:rsidRPr="00B37F23" w:rsidRDefault="00C268E7" w:rsidP="002365F8">
      <w:pPr>
        <w:pStyle w:val="BodyText"/>
        <w:jc w:val="both"/>
        <w:rPr>
          <w:rFonts w:ascii="Times New Roman" w:hAnsi="Times New Roman"/>
          <w:szCs w:val="22"/>
        </w:rPr>
      </w:pPr>
    </w:p>
    <w:p w:rsidR="00C268E7" w:rsidRPr="00B37F23" w:rsidRDefault="00C268E7" w:rsidP="00144C3D">
      <w:pPr>
        <w:pStyle w:val="BodyText"/>
        <w:spacing w:before="120"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7F23">
        <w:rPr>
          <w:rFonts w:ascii="Times New Roman" w:hAnsi="Times New Roman"/>
          <w:sz w:val="24"/>
          <w:szCs w:val="24"/>
        </w:rPr>
        <w:t>В сравнение с плана за 201</w:t>
      </w:r>
      <w:r w:rsidRPr="00B37F23">
        <w:rPr>
          <w:rFonts w:ascii="Times New Roman" w:hAnsi="Times New Roman"/>
          <w:sz w:val="24"/>
          <w:szCs w:val="24"/>
          <w:lang w:val="en-US"/>
        </w:rPr>
        <w:t>5</w:t>
      </w:r>
      <w:r w:rsidRPr="00B37F23">
        <w:rPr>
          <w:rFonts w:ascii="Times New Roman" w:hAnsi="Times New Roman"/>
          <w:sz w:val="24"/>
          <w:szCs w:val="24"/>
        </w:rPr>
        <w:t xml:space="preserve"> година и отчета за 201</w:t>
      </w:r>
      <w:r w:rsidRPr="00B37F23">
        <w:rPr>
          <w:rFonts w:ascii="Times New Roman" w:hAnsi="Times New Roman"/>
          <w:sz w:val="24"/>
          <w:szCs w:val="24"/>
          <w:lang w:val="en-US"/>
        </w:rPr>
        <w:t>4</w:t>
      </w:r>
      <w:r w:rsidRPr="00B37F23">
        <w:rPr>
          <w:rFonts w:ascii="Times New Roman" w:hAnsi="Times New Roman"/>
          <w:sz w:val="24"/>
          <w:szCs w:val="24"/>
        </w:rPr>
        <w:t xml:space="preserve"> година е отчетено:</w:t>
      </w:r>
    </w:p>
    <w:p w:rsidR="00C268E7" w:rsidRPr="00B37F23" w:rsidRDefault="00C268E7" w:rsidP="00144C3D">
      <w:pPr>
        <w:pStyle w:val="BodyText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37F23">
        <w:rPr>
          <w:rFonts w:ascii="Times New Roman" w:hAnsi="Times New Roman"/>
          <w:b/>
          <w:sz w:val="24"/>
          <w:szCs w:val="24"/>
        </w:rPr>
        <w:t>Разходи за дейността</w:t>
      </w:r>
      <w:r w:rsidRPr="00B37F23">
        <w:rPr>
          <w:rFonts w:ascii="Times New Roman" w:hAnsi="Times New Roman"/>
          <w:sz w:val="24"/>
          <w:szCs w:val="24"/>
        </w:rPr>
        <w:t>. Увеличение на разходите спрямо планираните за дейността в размер на  3 561 хил. лв. и увеличение спрямо отчетените за същия период на 2014 година в размер на  5 093 хил. лв. разпределени, както следва:</w:t>
      </w:r>
    </w:p>
    <w:p w:rsidR="00C268E7" w:rsidRPr="00B37F23" w:rsidRDefault="00C268E7" w:rsidP="00144C3D">
      <w:pPr>
        <w:pStyle w:val="BodyText"/>
        <w:numPr>
          <w:ilvl w:val="0"/>
          <w:numId w:val="20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37F23">
        <w:rPr>
          <w:rFonts w:ascii="Times New Roman" w:hAnsi="Times New Roman"/>
          <w:sz w:val="24"/>
          <w:szCs w:val="24"/>
        </w:rPr>
        <w:t>Експлоатационни разходи - намаление на разходите спрямо планираните в размер на 796  хил. лв. и намаление от 94  хил. лв. спрямо същия период на миналата година;</w:t>
      </w:r>
    </w:p>
    <w:p w:rsidR="00C268E7" w:rsidRPr="00B37F23" w:rsidRDefault="00C268E7" w:rsidP="00144C3D">
      <w:pPr>
        <w:pStyle w:val="BodyText"/>
        <w:numPr>
          <w:ilvl w:val="0"/>
          <w:numId w:val="20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37F23">
        <w:rPr>
          <w:rFonts w:ascii="Times New Roman" w:hAnsi="Times New Roman"/>
          <w:sz w:val="24"/>
          <w:szCs w:val="24"/>
        </w:rPr>
        <w:t xml:space="preserve">Отчетна стойност на продадените стоки – увеличение спрямо планираните в размер на  4 357 хил. лв. и увеличение от 5 187 хил. лв. спрямо съответния период на </w:t>
      </w:r>
      <w:r w:rsidRPr="00B37F23">
        <w:rPr>
          <w:rFonts w:ascii="Times New Roman" w:hAnsi="Times New Roman"/>
          <w:sz w:val="24"/>
          <w:szCs w:val="24"/>
        </w:rPr>
        <w:lastRenderedPageBreak/>
        <w:t>миналата година в резултат на реализирани в повече продажби на стоки в магазините и антилед.</w:t>
      </w:r>
    </w:p>
    <w:p w:rsidR="00C268E7" w:rsidRPr="00B37F23" w:rsidRDefault="00C268E7" w:rsidP="00144C3D">
      <w:pPr>
        <w:pStyle w:val="BodyText"/>
        <w:numPr>
          <w:ilvl w:val="0"/>
          <w:numId w:val="19"/>
        </w:numPr>
        <w:tabs>
          <w:tab w:val="num" w:pos="1776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37F23">
        <w:rPr>
          <w:rFonts w:ascii="Times New Roman" w:hAnsi="Times New Roman"/>
          <w:b/>
          <w:sz w:val="24"/>
          <w:szCs w:val="24"/>
        </w:rPr>
        <w:t>Финансирания.</w:t>
      </w:r>
      <w:r w:rsidRPr="00B37F23">
        <w:rPr>
          <w:rFonts w:ascii="Times New Roman" w:hAnsi="Times New Roman"/>
          <w:sz w:val="24"/>
          <w:szCs w:val="24"/>
        </w:rPr>
        <w:t xml:space="preserve"> Неизпълнение на планирани разходи за сметка на летищни такси в размер на  6 098 хил. лв. и увеличение спрямо предходната година в размер на  1 089 хил. лв.  </w:t>
      </w:r>
      <w:r w:rsidRPr="00B37F23">
        <w:rPr>
          <w:rFonts w:ascii="Times New Roman" w:hAnsi="Times New Roman"/>
          <w:color w:val="000000"/>
          <w:sz w:val="24"/>
          <w:szCs w:val="24"/>
        </w:rPr>
        <w:t>Неизпълнението на планирани разходи е от отчетени в по-малко разходи за материали, външни услуги, работна заплата, разходи за социални осигуровки и надбавки и други разходи.</w:t>
      </w:r>
    </w:p>
    <w:p w:rsidR="00C268E7" w:rsidRPr="00B37F23" w:rsidRDefault="00C268E7" w:rsidP="00144C3D">
      <w:pPr>
        <w:pStyle w:val="BodyText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37F23">
        <w:rPr>
          <w:rFonts w:ascii="Times New Roman" w:hAnsi="Times New Roman"/>
          <w:b/>
          <w:sz w:val="24"/>
          <w:szCs w:val="24"/>
        </w:rPr>
        <w:t>Финансови разходи.</w:t>
      </w:r>
      <w:r w:rsidRPr="00B37F23">
        <w:rPr>
          <w:rFonts w:ascii="Times New Roman" w:hAnsi="Times New Roman"/>
          <w:sz w:val="24"/>
          <w:szCs w:val="24"/>
        </w:rPr>
        <w:t xml:space="preserve"> Увеличение спрямо плана и спрямо отчета за 2014 година е от отчетени повече отрицателни разлики от промяна на валутни курсове.</w:t>
      </w:r>
    </w:p>
    <w:p w:rsidR="00C268E7" w:rsidRPr="00B37F23" w:rsidRDefault="00C268E7" w:rsidP="002365F8">
      <w:pPr>
        <w:pStyle w:val="BodyText"/>
        <w:jc w:val="both"/>
        <w:rPr>
          <w:rFonts w:ascii="Times New Roman" w:hAnsi="Times New Roman"/>
          <w:szCs w:val="22"/>
        </w:rPr>
      </w:pPr>
    </w:p>
    <w:p w:rsidR="00C268E7" w:rsidRPr="00B37F23" w:rsidRDefault="00C268E7" w:rsidP="002365F8">
      <w:pPr>
        <w:pStyle w:val="BodyText"/>
        <w:spacing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37F23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 xml:space="preserve">I.3. </w:t>
      </w:r>
      <w:r w:rsidRPr="00B37F23">
        <w:rPr>
          <w:rFonts w:ascii="Times New Roman" w:hAnsi="Times New Roman"/>
          <w:b/>
          <w:i/>
          <w:sz w:val="24"/>
          <w:szCs w:val="24"/>
          <w:u w:val="single"/>
        </w:rPr>
        <w:t>Финансов резултат</w:t>
      </w:r>
    </w:p>
    <w:p w:rsidR="00C268E7" w:rsidRPr="00B37F23" w:rsidRDefault="00C268E7" w:rsidP="002365F8">
      <w:pPr>
        <w:pStyle w:val="Body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7F23">
        <w:rPr>
          <w:rFonts w:ascii="Times New Roman" w:hAnsi="Times New Roman"/>
          <w:sz w:val="24"/>
          <w:szCs w:val="24"/>
        </w:rPr>
        <w:t>За деветте месеца на 2015 година “Летище София” ЕАД отчита финансов резултат от дейността си – печалба в размер на 4 550 хил. лв., с 2 037 хил. лв. повече от планираната и с 578 хил. лв. повече от отчетената за същия период на 2014 година.</w:t>
      </w:r>
    </w:p>
    <w:tbl>
      <w:tblPr>
        <w:tblW w:w="100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1080"/>
        <w:gridCol w:w="1080"/>
        <w:gridCol w:w="1060"/>
        <w:gridCol w:w="1134"/>
        <w:gridCol w:w="851"/>
      </w:tblGrid>
      <w:tr w:rsidR="00C268E7" w:rsidRPr="00B37F23" w:rsidTr="005620BD">
        <w:trPr>
          <w:trHeight w:val="914"/>
        </w:trPr>
        <w:tc>
          <w:tcPr>
            <w:tcW w:w="4875" w:type="dxa"/>
            <w:vAlign w:val="bottom"/>
          </w:tcPr>
          <w:p w:rsidR="00C268E7" w:rsidRPr="00B37F23" w:rsidRDefault="00C268E7" w:rsidP="005620BD">
            <w:pPr>
              <w:jc w:val="both"/>
              <w:rPr>
                <w:rFonts w:eastAsia="SimSun"/>
                <w:b/>
                <w:sz w:val="22"/>
                <w:szCs w:val="22"/>
                <w:lang w:val="bg-BG"/>
              </w:rPr>
            </w:pPr>
            <w:r w:rsidRPr="00B37F23">
              <w:rPr>
                <w:rFonts w:eastAsia="SimSun"/>
                <w:b/>
                <w:sz w:val="22"/>
                <w:szCs w:val="22"/>
                <w:lang w:val="bg-BG"/>
              </w:rPr>
              <w:t>в хил. лева</w:t>
            </w:r>
          </w:p>
        </w:tc>
        <w:tc>
          <w:tcPr>
            <w:tcW w:w="1080" w:type="dxa"/>
            <w:vAlign w:val="center"/>
          </w:tcPr>
          <w:p w:rsidR="00C268E7" w:rsidRPr="00B37F23" w:rsidRDefault="00C268E7" w:rsidP="005620BD">
            <w:pPr>
              <w:jc w:val="center"/>
              <w:rPr>
                <w:rFonts w:eastAsia="SimSun"/>
                <w:b/>
                <w:sz w:val="22"/>
                <w:szCs w:val="22"/>
                <w:lang w:val="bg-BG"/>
              </w:rPr>
            </w:pPr>
            <w:r w:rsidRPr="00B37F23">
              <w:rPr>
                <w:rFonts w:eastAsia="SimSun"/>
                <w:b/>
                <w:sz w:val="22"/>
                <w:szCs w:val="22"/>
                <w:lang w:val="bg-BG"/>
              </w:rPr>
              <w:t>отчетен период</w:t>
            </w:r>
          </w:p>
        </w:tc>
        <w:tc>
          <w:tcPr>
            <w:tcW w:w="1080" w:type="dxa"/>
            <w:vAlign w:val="center"/>
          </w:tcPr>
          <w:p w:rsidR="00C268E7" w:rsidRPr="00B37F23" w:rsidRDefault="00C268E7" w:rsidP="005620BD">
            <w:pPr>
              <w:jc w:val="center"/>
              <w:rPr>
                <w:rFonts w:eastAsia="SimSun"/>
                <w:b/>
                <w:sz w:val="22"/>
                <w:szCs w:val="22"/>
                <w:lang w:val="bg-BG"/>
              </w:rPr>
            </w:pPr>
            <w:r w:rsidRPr="00B37F23">
              <w:rPr>
                <w:rFonts w:eastAsia="SimSun"/>
                <w:b/>
                <w:sz w:val="22"/>
                <w:szCs w:val="22"/>
                <w:lang w:val="bg-BG"/>
              </w:rPr>
              <w:t>бизнес план</w:t>
            </w:r>
          </w:p>
        </w:tc>
        <w:tc>
          <w:tcPr>
            <w:tcW w:w="1060" w:type="dxa"/>
            <w:vAlign w:val="center"/>
          </w:tcPr>
          <w:p w:rsidR="00C268E7" w:rsidRPr="00B37F23" w:rsidRDefault="00C268E7" w:rsidP="005620BD">
            <w:pPr>
              <w:jc w:val="center"/>
              <w:rPr>
                <w:rFonts w:eastAsia="SimSun"/>
                <w:b/>
                <w:sz w:val="22"/>
                <w:szCs w:val="22"/>
                <w:lang w:val="bg-BG"/>
              </w:rPr>
            </w:pPr>
            <w:r w:rsidRPr="00B37F23">
              <w:rPr>
                <w:rFonts w:eastAsia="SimSun"/>
                <w:b/>
                <w:sz w:val="22"/>
                <w:szCs w:val="22"/>
                <w:lang w:val="bg-BG"/>
              </w:rPr>
              <w:t>1/2 (%)</w:t>
            </w:r>
          </w:p>
        </w:tc>
        <w:tc>
          <w:tcPr>
            <w:tcW w:w="1134" w:type="dxa"/>
            <w:vAlign w:val="center"/>
          </w:tcPr>
          <w:p w:rsidR="00C268E7" w:rsidRPr="00B37F23" w:rsidRDefault="00C268E7" w:rsidP="005620BD">
            <w:pPr>
              <w:jc w:val="center"/>
              <w:rPr>
                <w:rFonts w:eastAsia="SimSun"/>
                <w:b/>
                <w:sz w:val="22"/>
                <w:szCs w:val="22"/>
                <w:lang w:val="bg-BG"/>
              </w:rPr>
            </w:pPr>
            <w:r w:rsidRPr="00B37F23">
              <w:rPr>
                <w:rFonts w:eastAsia="SimSun"/>
                <w:b/>
                <w:sz w:val="22"/>
                <w:szCs w:val="22"/>
                <w:lang w:val="bg-BG"/>
              </w:rPr>
              <w:t>съответен период на предходна година</w:t>
            </w:r>
          </w:p>
        </w:tc>
        <w:tc>
          <w:tcPr>
            <w:tcW w:w="851" w:type="dxa"/>
            <w:vAlign w:val="center"/>
          </w:tcPr>
          <w:p w:rsidR="00C268E7" w:rsidRPr="00B37F23" w:rsidRDefault="00C268E7" w:rsidP="005620BD">
            <w:pPr>
              <w:jc w:val="center"/>
              <w:rPr>
                <w:rFonts w:eastAsia="SimSun"/>
                <w:b/>
                <w:sz w:val="22"/>
                <w:szCs w:val="22"/>
                <w:lang w:val="bg-BG"/>
              </w:rPr>
            </w:pPr>
            <w:r w:rsidRPr="00B37F23">
              <w:rPr>
                <w:rFonts w:eastAsia="SimSun"/>
                <w:b/>
                <w:sz w:val="22"/>
                <w:szCs w:val="22"/>
                <w:lang w:val="bg-BG"/>
              </w:rPr>
              <w:t>1/3 (%)</w:t>
            </w:r>
          </w:p>
        </w:tc>
      </w:tr>
      <w:tr w:rsidR="00C268E7" w:rsidRPr="00B37F23" w:rsidTr="00E4451B">
        <w:trPr>
          <w:trHeight w:val="330"/>
        </w:trPr>
        <w:tc>
          <w:tcPr>
            <w:tcW w:w="4875" w:type="dxa"/>
            <w:vAlign w:val="bottom"/>
          </w:tcPr>
          <w:p w:rsidR="00C268E7" w:rsidRPr="00B37F23" w:rsidRDefault="00C268E7" w:rsidP="005620BD">
            <w:pPr>
              <w:spacing w:before="240" w:after="240" w:line="240" w:lineRule="atLeast"/>
              <w:jc w:val="both"/>
              <w:rPr>
                <w:rFonts w:eastAsia="SimSun"/>
                <w:sz w:val="22"/>
                <w:szCs w:val="22"/>
                <w:lang w:val="bg-BG"/>
              </w:rPr>
            </w:pPr>
            <w:r w:rsidRPr="00B37F23">
              <w:rPr>
                <w:rFonts w:eastAsia="SimSun"/>
                <w:sz w:val="22"/>
                <w:szCs w:val="22"/>
                <w:lang w:val="bg-BG"/>
              </w:rPr>
              <w:t>Нетни приходи от продажби</w:t>
            </w:r>
          </w:p>
        </w:tc>
        <w:tc>
          <w:tcPr>
            <w:tcW w:w="108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50,318</w:t>
            </w:r>
          </w:p>
        </w:tc>
        <w:tc>
          <w:tcPr>
            <w:tcW w:w="108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45,000</w:t>
            </w:r>
          </w:p>
        </w:tc>
        <w:tc>
          <w:tcPr>
            <w:tcW w:w="106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11.8%</w:t>
            </w:r>
          </w:p>
        </w:tc>
        <w:tc>
          <w:tcPr>
            <w:tcW w:w="1134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43,601</w:t>
            </w:r>
          </w:p>
        </w:tc>
        <w:tc>
          <w:tcPr>
            <w:tcW w:w="851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15.4%</w:t>
            </w:r>
          </w:p>
        </w:tc>
      </w:tr>
      <w:tr w:rsidR="00C268E7" w:rsidRPr="00B37F23" w:rsidTr="00E4451B">
        <w:trPr>
          <w:trHeight w:val="315"/>
        </w:trPr>
        <w:tc>
          <w:tcPr>
            <w:tcW w:w="4875" w:type="dxa"/>
            <w:vAlign w:val="bottom"/>
          </w:tcPr>
          <w:p w:rsidR="00C268E7" w:rsidRPr="00B37F23" w:rsidRDefault="00C268E7" w:rsidP="005620BD">
            <w:pPr>
              <w:spacing w:before="240" w:after="240" w:line="240" w:lineRule="atLeast"/>
              <w:jc w:val="both"/>
              <w:rPr>
                <w:rFonts w:eastAsia="SimSun"/>
                <w:sz w:val="22"/>
                <w:szCs w:val="22"/>
                <w:lang w:val="bg-BG"/>
              </w:rPr>
            </w:pPr>
            <w:r w:rsidRPr="00B37F23">
              <w:rPr>
                <w:rFonts w:eastAsia="SimSun"/>
                <w:sz w:val="22"/>
                <w:szCs w:val="22"/>
                <w:lang w:val="bg-BG"/>
              </w:rPr>
              <w:t>Оперативни разходи/ без амортизации и финансирания/</w:t>
            </w:r>
          </w:p>
        </w:tc>
        <w:tc>
          <w:tcPr>
            <w:tcW w:w="108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44,841</w:t>
            </w:r>
          </w:p>
        </w:tc>
        <w:tc>
          <w:tcPr>
            <w:tcW w:w="108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41,241</w:t>
            </w:r>
          </w:p>
        </w:tc>
        <w:tc>
          <w:tcPr>
            <w:tcW w:w="106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8.7%</w:t>
            </w:r>
          </w:p>
        </w:tc>
        <w:tc>
          <w:tcPr>
            <w:tcW w:w="1134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39,824</w:t>
            </w:r>
          </w:p>
        </w:tc>
        <w:tc>
          <w:tcPr>
            <w:tcW w:w="851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12.6%</w:t>
            </w:r>
          </w:p>
        </w:tc>
      </w:tr>
      <w:tr w:rsidR="00C268E7" w:rsidRPr="00B37F23" w:rsidTr="00E4451B">
        <w:trPr>
          <w:trHeight w:val="315"/>
        </w:trPr>
        <w:tc>
          <w:tcPr>
            <w:tcW w:w="4875" w:type="dxa"/>
            <w:vAlign w:val="bottom"/>
          </w:tcPr>
          <w:p w:rsidR="00C268E7" w:rsidRPr="00B37F23" w:rsidRDefault="00C268E7" w:rsidP="005620BD">
            <w:pPr>
              <w:spacing w:before="240" w:after="240" w:line="240" w:lineRule="atLeast"/>
              <w:jc w:val="both"/>
              <w:rPr>
                <w:sz w:val="22"/>
                <w:szCs w:val="22"/>
                <w:lang w:val="bg-BG"/>
              </w:rPr>
            </w:pPr>
            <w:r w:rsidRPr="00B37F23">
              <w:rPr>
                <w:rFonts w:eastAsia="SimSun"/>
                <w:sz w:val="22"/>
                <w:szCs w:val="22"/>
                <w:lang w:val="bg-BG"/>
              </w:rPr>
              <w:t xml:space="preserve">Печалба преди фин. приходи и разходи, данъци и амортизации </w:t>
            </w:r>
          </w:p>
        </w:tc>
        <w:tc>
          <w:tcPr>
            <w:tcW w:w="108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5,477</w:t>
            </w:r>
          </w:p>
        </w:tc>
        <w:tc>
          <w:tcPr>
            <w:tcW w:w="108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3,759</w:t>
            </w:r>
          </w:p>
        </w:tc>
        <w:tc>
          <w:tcPr>
            <w:tcW w:w="106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45.7%</w:t>
            </w:r>
          </w:p>
        </w:tc>
        <w:tc>
          <w:tcPr>
            <w:tcW w:w="1134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3,777</w:t>
            </w:r>
          </w:p>
        </w:tc>
        <w:tc>
          <w:tcPr>
            <w:tcW w:w="851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45.0%</w:t>
            </w:r>
          </w:p>
        </w:tc>
      </w:tr>
      <w:tr w:rsidR="00C268E7" w:rsidRPr="00B37F23" w:rsidTr="005620BD">
        <w:trPr>
          <w:trHeight w:val="315"/>
        </w:trPr>
        <w:tc>
          <w:tcPr>
            <w:tcW w:w="4875" w:type="dxa"/>
            <w:vAlign w:val="bottom"/>
          </w:tcPr>
          <w:p w:rsidR="00C268E7" w:rsidRPr="00B37F23" w:rsidRDefault="00C268E7" w:rsidP="005620BD">
            <w:pPr>
              <w:spacing w:before="240" w:after="240" w:line="240" w:lineRule="atLeast"/>
              <w:jc w:val="both"/>
              <w:rPr>
                <w:rFonts w:eastAsia="SimSun"/>
                <w:sz w:val="22"/>
                <w:szCs w:val="22"/>
                <w:lang w:val="bg-BG"/>
              </w:rPr>
            </w:pPr>
            <w:r w:rsidRPr="00B37F23">
              <w:rPr>
                <w:rFonts w:eastAsia="SimSun"/>
                <w:sz w:val="22"/>
                <w:szCs w:val="22"/>
                <w:lang w:val="bg-BG"/>
              </w:rPr>
              <w:t>EBITDA / Приходи от продажби (%)</w:t>
            </w:r>
          </w:p>
        </w:tc>
        <w:tc>
          <w:tcPr>
            <w:tcW w:w="108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10.9%</w:t>
            </w:r>
          </w:p>
        </w:tc>
        <w:tc>
          <w:tcPr>
            <w:tcW w:w="108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8.4%</w:t>
            </w:r>
          </w:p>
        </w:tc>
        <w:tc>
          <w:tcPr>
            <w:tcW w:w="106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30.3%</w:t>
            </w:r>
          </w:p>
        </w:tc>
        <w:tc>
          <w:tcPr>
            <w:tcW w:w="1134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8.7%</w:t>
            </w:r>
          </w:p>
        </w:tc>
        <w:tc>
          <w:tcPr>
            <w:tcW w:w="851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25.7%</w:t>
            </w:r>
          </w:p>
        </w:tc>
      </w:tr>
      <w:tr w:rsidR="00C268E7" w:rsidRPr="00B37F23" w:rsidTr="005620BD">
        <w:trPr>
          <w:trHeight w:val="315"/>
        </w:trPr>
        <w:tc>
          <w:tcPr>
            <w:tcW w:w="4875" w:type="dxa"/>
            <w:vAlign w:val="bottom"/>
          </w:tcPr>
          <w:p w:rsidR="00C268E7" w:rsidRPr="00B37F23" w:rsidRDefault="00C268E7" w:rsidP="005620BD">
            <w:pPr>
              <w:spacing w:before="240" w:after="240" w:line="240" w:lineRule="atLeast"/>
              <w:jc w:val="both"/>
              <w:rPr>
                <w:rFonts w:eastAsia="SimSun"/>
                <w:b/>
                <w:sz w:val="22"/>
                <w:szCs w:val="22"/>
                <w:lang w:val="bg-BG"/>
              </w:rPr>
            </w:pPr>
            <w:r w:rsidRPr="00B37F23">
              <w:rPr>
                <w:rFonts w:eastAsia="SimSun"/>
                <w:b/>
                <w:sz w:val="22"/>
                <w:szCs w:val="22"/>
                <w:lang w:val="bg-BG"/>
              </w:rPr>
              <w:t>Печалба преди фин. приходи и разходи, данъци с амортизации (EBIT)</w:t>
            </w:r>
          </w:p>
        </w:tc>
        <w:tc>
          <w:tcPr>
            <w:tcW w:w="108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4,605</w:t>
            </w:r>
          </w:p>
        </w:tc>
        <w:tc>
          <w:tcPr>
            <w:tcW w:w="108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2,848</w:t>
            </w:r>
          </w:p>
        </w:tc>
        <w:tc>
          <w:tcPr>
            <w:tcW w:w="106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61.7%</w:t>
            </w:r>
          </w:p>
        </w:tc>
        <w:tc>
          <w:tcPr>
            <w:tcW w:w="1134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2,981</w:t>
            </w:r>
          </w:p>
        </w:tc>
        <w:tc>
          <w:tcPr>
            <w:tcW w:w="851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54.5%</w:t>
            </w:r>
          </w:p>
        </w:tc>
      </w:tr>
      <w:tr w:rsidR="00C268E7" w:rsidRPr="00B37F23" w:rsidTr="005620BD">
        <w:trPr>
          <w:trHeight w:val="377"/>
        </w:trPr>
        <w:tc>
          <w:tcPr>
            <w:tcW w:w="4875" w:type="dxa"/>
            <w:vAlign w:val="bottom"/>
          </w:tcPr>
          <w:p w:rsidR="00C268E7" w:rsidRPr="00B37F23" w:rsidRDefault="00C268E7" w:rsidP="005620BD">
            <w:pPr>
              <w:spacing w:before="240" w:after="240" w:line="240" w:lineRule="atLeast"/>
              <w:jc w:val="both"/>
              <w:rPr>
                <w:rFonts w:eastAsia="SimSun"/>
                <w:sz w:val="22"/>
                <w:szCs w:val="22"/>
                <w:lang w:val="bg-BG"/>
              </w:rPr>
            </w:pPr>
            <w:r w:rsidRPr="00B37F23">
              <w:rPr>
                <w:rFonts w:eastAsia="SimSun"/>
                <w:sz w:val="22"/>
                <w:szCs w:val="22"/>
                <w:lang w:val="bg-BG"/>
              </w:rPr>
              <w:t>ЕBIT / Приходи от продажби (%)</w:t>
            </w:r>
          </w:p>
        </w:tc>
        <w:tc>
          <w:tcPr>
            <w:tcW w:w="108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9.2%</w:t>
            </w:r>
          </w:p>
        </w:tc>
        <w:tc>
          <w:tcPr>
            <w:tcW w:w="108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6.3%</w:t>
            </w:r>
          </w:p>
        </w:tc>
        <w:tc>
          <w:tcPr>
            <w:tcW w:w="106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44.6%</w:t>
            </w:r>
          </w:p>
        </w:tc>
        <w:tc>
          <w:tcPr>
            <w:tcW w:w="1134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6.8%</w:t>
            </w:r>
          </w:p>
        </w:tc>
        <w:tc>
          <w:tcPr>
            <w:tcW w:w="851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33.9%</w:t>
            </w:r>
          </w:p>
        </w:tc>
      </w:tr>
      <w:tr w:rsidR="00C268E7" w:rsidRPr="00B37F23" w:rsidTr="005620BD">
        <w:trPr>
          <w:trHeight w:val="341"/>
        </w:trPr>
        <w:tc>
          <w:tcPr>
            <w:tcW w:w="4875" w:type="dxa"/>
            <w:vAlign w:val="bottom"/>
          </w:tcPr>
          <w:p w:rsidR="00C268E7" w:rsidRPr="00B37F23" w:rsidRDefault="00C268E7" w:rsidP="005620BD">
            <w:pPr>
              <w:spacing w:before="240" w:after="240" w:line="240" w:lineRule="atLeast"/>
              <w:jc w:val="both"/>
              <w:rPr>
                <w:rFonts w:eastAsia="SimSun"/>
                <w:b/>
                <w:sz w:val="22"/>
                <w:szCs w:val="22"/>
                <w:lang w:val="bg-BG"/>
              </w:rPr>
            </w:pPr>
            <w:r w:rsidRPr="00B37F23">
              <w:rPr>
                <w:rFonts w:eastAsia="SimSun"/>
                <w:b/>
                <w:sz w:val="22"/>
                <w:szCs w:val="22"/>
                <w:lang w:val="bg-BG"/>
              </w:rPr>
              <w:t>Печалба преди данъци</w:t>
            </w:r>
          </w:p>
        </w:tc>
        <w:tc>
          <w:tcPr>
            <w:tcW w:w="108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5,056</w:t>
            </w:r>
          </w:p>
        </w:tc>
        <w:tc>
          <w:tcPr>
            <w:tcW w:w="108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2,792</w:t>
            </w:r>
          </w:p>
        </w:tc>
        <w:tc>
          <w:tcPr>
            <w:tcW w:w="106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81.1%</w:t>
            </w:r>
          </w:p>
        </w:tc>
        <w:tc>
          <w:tcPr>
            <w:tcW w:w="1134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4,414</w:t>
            </w:r>
          </w:p>
        </w:tc>
        <w:tc>
          <w:tcPr>
            <w:tcW w:w="851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14.5%</w:t>
            </w:r>
          </w:p>
        </w:tc>
      </w:tr>
      <w:tr w:rsidR="00C268E7" w:rsidRPr="00B37F23" w:rsidTr="00D86582">
        <w:trPr>
          <w:trHeight w:val="415"/>
        </w:trPr>
        <w:tc>
          <w:tcPr>
            <w:tcW w:w="4875" w:type="dxa"/>
            <w:vAlign w:val="bottom"/>
          </w:tcPr>
          <w:p w:rsidR="00C268E7" w:rsidRPr="00B37F23" w:rsidRDefault="00C268E7" w:rsidP="00FE1446">
            <w:pPr>
              <w:spacing w:before="240" w:after="240"/>
              <w:jc w:val="both"/>
              <w:rPr>
                <w:rFonts w:eastAsia="SimSun"/>
                <w:b/>
                <w:sz w:val="22"/>
                <w:szCs w:val="22"/>
                <w:lang w:val="bg-BG"/>
              </w:rPr>
            </w:pPr>
            <w:r w:rsidRPr="00B37F23">
              <w:rPr>
                <w:rFonts w:eastAsia="SimSun"/>
                <w:b/>
                <w:sz w:val="22"/>
                <w:szCs w:val="22"/>
                <w:lang w:val="bg-BG"/>
              </w:rPr>
              <w:t>Чиста печалба</w:t>
            </w:r>
          </w:p>
        </w:tc>
        <w:tc>
          <w:tcPr>
            <w:tcW w:w="1080" w:type="dxa"/>
            <w:vAlign w:val="bottom"/>
          </w:tcPr>
          <w:p w:rsidR="00C268E7" w:rsidRPr="00B37F23" w:rsidRDefault="00C268E7" w:rsidP="00FE1446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4,550</w:t>
            </w:r>
          </w:p>
        </w:tc>
        <w:tc>
          <w:tcPr>
            <w:tcW w:w="1080" w:type="dxa"/>
            <w:vAlign w:val="bottom"/>
          </w:tcPr>
          <w:p w:rsidR="00C268E7" w:rsidRPr="00B37F23" w:rsidRDefault="00C268E7" w:rsidP="00FE1446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2,513</w:t>
            </w:r>
          </w:p>
        </w:tc>
        <w:tc>
          <w:tcPr>
            <w:tcW w:w="1060" w:type="dxa"/>
            <w:vAlign w:val="bottom"/>
          </w:tcPr>
          <w:p w:rsidR="00C268E7" w:rsidRPr="00B37F23" w:rsidRDefault="00C268E7" w:rsidP="00FE1446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81.1%</w:t>
            </w:r>
          </w:p>
        </w:tc>
        <w:tc>
          <w:tcPr>
            <w:tcW w:w="1134" w:type="dxa"/>
            <w:vAlign w:val="bottom"/>
          </w:tcPr>
          <w:p w:rsidR="00C268E7" w:rsidRPr="00B37F23" w:rsidRDefault="00C268E7" w:rsidP="00FE1446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3,972</w:t>
            </w:r>
          </w:p>
        </w:tc>
        <w:tc>
          <w:tcPr>
            <w:tcW w:w="851" w:type="dxa"/>
            <w:vAlign w:val="bottom"/>
          </w:tcPr>
          <w:p w:rsidR="00C268E7" w:rsidRPr="00B37F23" w:rsidRDefault="00C268E7" w:rsidP="00FE1446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14.6%</w:t>
            </w:r>
          </w:p>
        </w:tc>
      </w:tr>
    </w:tbl>
    <w:p w:rsidR="00C268E7" w:rsidRPr="00B37F23" w:rsidRDefault="00C268E7" w:rsidP="00FE1446">
      <w:pPr>
        <w:pStyle w:val="BodyText"/>
        <w:ind w:firstLine="709"/>
        <w:jc w:val="both"/>
        <w:rPr>
          <w:rFonts w:ascii="Times New Roman" w:hAnsi="Times New Roman"/>
          <w:szCs w:val="22"/>
        </w:rPr>
      </w:pPr>
    </w:p>
    <w:p w:rsidR="00C268E7" w:rsidRPr="00B37F23" w:rsidRDefault="00C268E7" w:rsidP="00B37F23">
      <w:pPr>
        <w:spacing w:line="240" w:lineRule="atLeast"/>
        <w:ind w:firstLine="709"/>
        <w:jc w:val="both"/>
        <w:rPr>
          <w:sz w:val="24"/>
          <w:szCs w:val="24"/>
          <w:lang w:val="bg-BG"/>
        </w:rPr>
      </w:pPr>
      <w:r w:rsidRPr="00B37F23">
        <w:rPr>
          <w:sz w:val="24"/>
          <w:szCs w:val="24"/>
          <w:lang w:val="bg-BG"/>
        </w:rPr>
        <w:t>Отчетените нетни приходи от продажби за деветте месеца на 2015 г. имат преизпълнение от 5 318 хил. лв. спрямо планираните и увеличение от 6 717 хил. лв. спрямо отчетените за същия период на 2014 г.. Увеличението спрямо плана и отчета на миналата година е основно от ръста на продадените стоки в магазините и антилед.</w:t>
      </w:r>
    </w:p>
    <w:p w:rsidR="00C268E7" w:rsidRPr="00B37F23" w:rsidRDefault="00C268E7" w:rsidP="00B37F23">
      <w:pPr>
        <w:spacing w:line="240" w:lineRule="atLeast"/>
        <w:ind w:firstLine="709"/>
        <w:jc w:val="both"/>
        <w:rPr>
          <w:sz w:val="24"/>
          <w:szCs w:val="24"/>
          <w:lang w:val="bg-BG"/>
        </w:rPr>
      </w:pPr>
      <w:r w:rsidRPr="00B37F23">
        <w:rPr>
          <w:sz w:val="24"/>
          <w:szCs w:val="24"/>
          <w:lang w:val="bg-BG"/>
        </w:rPr>
        <w:t>Оперативните разходи за дейността /без амортизации и финансирания/ имат увеличение от 3 600 хил. лв. спрямо плана и увеличение от 5 017 хил. лв. спрямо отчета за 2014г.</w:t>
      </w:r>
    </w:p>
    <w:p w:rsidR="00C268E7" w:rsidRPr="00B37F23" w:rsidRDefault="00C268E7" w:rsidP="00B37F23">
      <w:pPr>
        <w:spacing w:line="240" w:lineRule="atLeast"/>
        <w:ind w:firstLine="709"/>
        <w:jc w:val="both"/>
        <w:rPr>
          <w:sz w:val="24"/>
          <w:szCs w:val="24"/>
        </w:rPr>
      </w:pPr>
      <w:r w:rsidRPr="00B37F23">
        <w:rPr>
          <w:sz w:val="24"/>
          <w:szCs w:val="24"/>
          <w:lang w:val="bg-BG"/>
        </w:rPr>
        <w:t>В резултат на и</w:t>
      </w:r>
      <w:r w:rsidRPr="00B37F23">
        <w:rPr>
          <w:sz w:val="24"/>
          <w:szCs w:val="24"/>
        </w:rPr>
        <w:t>зпреварващият ръст на нетните приходи от продажби над оперативните разходи за дейността</w:t>
      </w:r>
      <w:r w:rsidRPr="00B37F23">
        <w:rPr>
          <w:sz w:val="24"/>
          <w:szCs w:val="24"/>
          <w:lang w:val="bg-BG"/>
        </w:rPr>
        <w:t>,</w:t>
      </w:r>
      <w:r w:rsidRPr="00B37F23">
        <w:rPr>
          <w:sz w:val="24"/>
          <w:szCs w:val="24"/>
        </w:rPr>
        <w:t xml:space="preserve"> </w:t>
      </w:r>
      <w:r w:rsidRPr="00B37F23">
        <w:rPr>
          <w:sz w:val="24"/>
          <w:szCs w:val="24"/>
          <w:lang w:val="bg-BG"/>
        </w:rPr>
        <w:t>дружеството отчита оперативна печалба от дейността си в размер на 5 477 х.лв., с 1 718 хил. лв. над планираната и с 1 700 хил. лв. над отчетената за същия период на 2014 година.</w:t>
      </w:r>
    </w:p>
    <w:p w:rsidR="00C268E7" w:rsidRPr="00B37F23" w:rsidRDefault="00C268E7" w:rsidP="00B37F23">
      <w:pPr>
        <w:spacing w:line="360" w:lineRule="auto"/>
        <w:ind w:firstLine="708"/>
        <w:jc w:val="both"/>
        <w:rPr>
          <w:b/>
          <w:i/>
          <w:sz w:val="22"/>
          <w:szCs w:val="22"/>
          <w:u w:val="single"/>
          <w:lang w:val="bg-BG"/>
        </w:rPr>
      </w:pPr>
      <w:r w:rsidRPr="00B37F23">
        <w:rPr>
          <w:b/>
          <w:i/>
          <w:sz w:val="22"/>
          <w:szCs w:val="22"/>
          <w:u w:val="single"/>
        </w:rPr>
        <w:t>I</w:t>
      </w:r>
      <w:r w:rsidRPr="00B37F23">
        <w:rPr>
          <w:b/>
          <w:i/>
          <w:sz w:val="22"/>
          <w:szCs w:val="22"/>
          <w:u w:val="single"/>
          <w:lang w:val="bg-BG"/>
        </w:rPr>
        <w:t>.4.</w:t>
      </w:r>
      <w:r w:rsidRPr="00B37F23">
        <w:rPr>
          <w:b/>
          <w:i/>
          <w:sz w:val="22"/>
          <w:szCs w:val="22"/>
          <w:u w:val="single"/>
        </w:rPr>
        <w:t xml:space="preserve"> </w:t>
      </w:r>
      <w:r w:rsidRPr="00B37F23">
        <w:rPr>
          <w:b/>
          <w:i/>
          <w:sz w:val="22"/>
          <w:szCs w:val="22"/>
          <w:u w:val="single"/>
          <w:lang w:val="bg-BG"/>
        </w:rPr>
        <w:t>Счетоводен баланс</w:t>
      </w:r>
    </w:p>
    <w:p w:rsidR="00C268E7" w:rsidRPr="00B37F23" w:rsidRDefault="00C268E7" w:rsidP="002365F8">
      <w:pPr>
        <w:jc w:val="both"/>
        <w:rPr>
          <w:sz w:val="22"/>
          <w:szCs w:val="22"/>
          <w:lang w:val="bg-BG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0"/>
        <w:gridCol w:w="1440"/>
        <w:gridCol w:w="1440"/>
        <w:gridCol w:w="1260"/>
      </w:tblGrid>
      <w:tr w:rsidR="00C268E7" w:rsidRPr="00B37F23" w:rsidTr="005620BD">
        <w:trPr>
          <w:trHeight w:val="106"/>
        </w:trPr>
        <w:tc>
          <w:tcPr>
            <w:tcW w:w="5580" w:type="dxa"/>
            <w:shd w:val="clear" w:color="auto" w:fill="C0C0C0"/>
            <w:vAlign w:val="center"/>
          </w:tcPr>
          <w:p w:rsidR="00C268E7" w:rsidRPr="00B37F23" w:rsidRDefault="00C268E7" w:rsidP="005620BD">
            <w:pPr>
              <w:jc w:val="both"/>
              <w:rPr>
                <w:rFonts w:eastAsia="SimSun"/>
                <w:sz w:val="22"/>
                <w:szCs w:val="22"/>
                <w:lang w:val="bg-BG"/>
              </w:rPr>
            </w:pPr>
            <w:r w:rsidRPr="00B37F23">
              <w:rPr>
                <w:rFonts w:eastAsia="SimSun"/>
                <w:sz w:val="22"/>
                <w:szCs w:val="22"/>
                <w:lang w:val="bg-BG"/>
              </w:rPr>
              <w:t>СЧЕТОВОДЕН БАЛАНС</w:t>
            </w:r>
          </w:p>
        </w:tc>
        <w:tc>
          <w:tcPr>
            <w:tcW w:w="4140" w:type="dxa"/>
            <w:gridSpan w:val="3"/>
            <w:shd w:val="clear" w:color="auto" w:fill="C0C0C0"/>
            <w:vAlign w:val="bottom"/>
          </w:tcPr>
          <w:p w:rsidR="00C268E7" w:rsidRPr="00B37F23" w:rsidRDefault="00C268E7" w:rsidP="005620BD">
            <w:pPr>
              <w:jc w:val="both"/>
              <w:rPr>
                <w:sz w:val="22"/>
                <w:szCs w:val="22"/>
                <w:lang w:val="bg-BG"/>
              </w:rPr>
            </w:pPr>
          </w:p>
        </w:tc>
      </w:tr>
      <w:tr w:rsidR="00C268E7" w:rsidRPr="00B37F23" w:rsidTr="005620BD">
        <w:trPr>
          <w:trHeight w:val="185"/>
        </w:trPr>
        <w:tc>
          <w:tcPr>
            <w:tcW w:w="5580" w:type="dxa"/>
            <w:vAlign w:val="center"/>
          </w:tcPr>
          <w:p w:rsidR="00C268E7" w:rsidRPr="00B37F23" w:rsidRDefault="00C268E7" w:rsidP="005620BD">
            <w:pPr>
              <w:jc w:val="both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440" w:type="dxa"/>
            <w:vAlign w:val="bottom"/>
          </w:tcPr>
          <w:p w:rsidR="00C268E7" w:rsidRPr="00B37F23" w:rsidRDefault="00C268E7" w:rsidP="005620BD">
            <w:pPr>
              <w:jc w:val="center"/>
              <w:rPr>
                <w:rFonts w:eastAsia="SimSun"/>
                <w:b/>
                <w:sz w:val="22"/>
                <w:szCs w:val="22"/>
                <w:lang w:val="bg-BG"/>
              </w:rPr>
            </w:pPr>
            <w:r w:rsidRPr="00B37F23">
              <w:rPr>
                <w:rFonts w:eastAsia="SimSun"/>
                <w:b/>
                <w:sz w:val="22"/>
                <w:szCs w:val="22"/>
                <w:lang w:val="bg-BG"/>
              </w:rPr>
              <w:t>1</w:t>
            </w:r>
          </w:p>
        </w:tc>
        <w:tc>
          <w:tcPr>
            <w:tcW w:w="1440" w:type="dxa"/>
            <w:vAlign w:val="bottom"/>
          </w:tcPr>
          <w:p w:rsidR="00C268E7" w:rsidRPr="00B37F23" w:rsidRDefault="00C268E7" w:rsidP="005620BD">
            <w:pPr>
              <w:jc w:val="center"/>
              <w:rPr>
                <w:rFonts w:eastAsia="SimSun"/>
                <w:b/>
                <w:sz w:val="22"/>
                <w:szCs w:val="22"/>
                <w:lang w:val="bg-BG"/>
              </w:rPr>
            </w:pPr>
            <w:r w:rsidRPr="00B37F23">
              <w:rPr>
                <w:rFonts w:eastAsia="SimSun"/>
                <w:b/>
                <w:sz w:val="22"/>
                <w:szCs w:val="22"/>
                <w:lang w:val="bg-BG"/>
              </w:rPr>
              <w:t>2</w:t>
            </w:r>
          </w:p>
        </w:tc>
        <w:tc>
          <w:tcPr>
            <w:tcW w:w="1260" w:type="dxa"/>
            <w:vAlign w:val="bottom"/>
          </w:tcPr>
          <w:p w:rsidR="00C268E7" w:rsidRPr="00B37F23" w:rsidRDefault="00C268E7" w:rsidP="005620BD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C268E7" w:rsidRPr="00B37F23" w:rsidTr="005620BD">
        <w:trPr>
          <w:trHeight w:val="459"/>
        </w:trPr>
        <w:tc>
          <w:tcPr>
            <w:tcW w:w="5580" w:type="dxa"/>
            <w:vAlign w:val="center"/>
          </w:tcPr>
          <w:p w:rsidR="00C268E7" w:rsidRPr="00B37F23" w:rsidRDefault="00C268E7" w:rsidP="00AE3766">
            <w:pPr>
              <w:spacing w:line="240" w:lineRule="atLeast"/>
              <w:jc w:val="both"/>
              <w:rPr>
                <w:rFonts w:eastAsia="SimSun"/>
                <w:b/>
                <w:sz w:val="22"/>
                <w:szCs w:val="22"/>
                <w:lang w:val="bg-BG"/>
              </w:rPr>
            </w:pPr>
            <w:r w:rsidRPr="00B37F23">
              <w:rPr>
                <w:rFonts w:eastAsia="SimSun"/>
                <w:b/>
                <w:sz w:val="22"/>
                <w:szCs w:val="22"/>
                <w:lang w:val="bg-BG"/>
              </w:rPr>
              <w:t>в хил. лева</w:t>
            </w:r>
          </w:p>
        </w:tc>
        <w:tc>
          <w:tcPr>
            <w:tcW w:w="1440" w:type="dxa"/>
            <w:vAlign w:val="center"/>
          </w:tcPr>
          <w:p w:rsidR="00C268E7" w:rsidRPr="00B37F23" w:rsidRDefault="00C268E7" w:rsidP="00AE3766">
            <w:pPr>
              <w:spacing w:line="240" w:lineRule="atLeast"/>
              <w:jc w:val="center"/>
              <w:rPr>
                <w:rFonts w:eastAsia="SimSun"/>
                <w:b/>
                <w:sz w:val="22"/>
                <w:szCs w:val="22"/>
                <w:lang w:val="bg-BG"/>
              </w:rPr>
            </w:pPr>
            <w:r w:rsidRPr="00B37F23">
              <w:rPr>
                <w:rFonts w:eastAsia="SimSun"/>
                <w:b/>
                <w:sz w:val="22"/>
                <w:szCs w:val="22"/>
                <w:lang w:val="bg-BG"/>
              </w:rPr>
              <w:t>отчетен период</w:t>
            </w:r>
          </w:p>
        </w:tc>
        <w:tc>
          <w:tcPr>
            <w:tcW w:w="1440" w:type="dxa"/>
            <w:vAlign w:val="center"/>
          </w:tcPr>
          <w:p w:rsidR="00C268E7" w:rsidRPr="00B37F23" w:rsidRDefault="00C268E7" w:rsidP="00AE3766">
            <w:pPr>
              <w:spacing w:line="240" w:lineRule="atLeast"/>
              <w:jc w:val="center"/>
              <w:rPr>
                <w:rFonts w:eastAsia="SimSun"/>
                <w:b/>
                <w:sz w:val="22"/>
                <w:szCs w:val="22"/>
                <w:lang w:val="bg-BG"/>
              </w:rPr>
            </w:pPr>
            <w:r w:rsidRPr="00B37F23">
              <w:rPr>
                <w:rFonts w:eastAsia="SimSun"/>
                <w:b/>
                <w:sz w:val="22"/>
                <w:szCs w:val="22"/>
                <w:lang w:val="bg-BG"/>
              </w:rPr>
              <w:t>31.12.2014</w:t>
            </w:r>
          </w:p>
        </w:tc>
        <w:tc>
          <w:tcPr>
            <w:tcW w:w="1260" w:type="dxa"/>
            <w:vAlign w:val="center"/>
          </w:tcPr>
          <w:p w:rsidR="00C268E7" w:rsidRPr="00B37F23" w:rsidRDefault="00C268E7" w:rsidP="00AE3766">
            <w:pPr>
              <w:spacing w:line="240" w:lineRule="atLeast"/>
              <w:jc w:val="center"/>
              <w:rPr>
                <w:rFonts w:eastAsia="SimSun"/>
                <w:b/>
                <w:sz w:val="22"/>
                <w:szCs w:val="22"/>
                <w:lang w:val="bg-BG"/>
              </w:rPr>
            </w:pPr>
            <w:r w:rsidRPr="00B37F23">
              <w:rPr>
                <w:rFonts w:eastAsia="SimSun"/>
                <w:b/>
                <w:sz w:val="22"/>
                <w:szCs w:val="22"/>
                <w:lang w:val="bg-BG"/>
              </w:rPr>
              <w:t>1/2 (%)</w:t>
            </w:r>
          </w:p>
        </w:tc>
      </w:tr>
      <w:tr w:rsidR="00C268E7" w:rsidRPr="00B37F23" w:rsidTr="005620BD">
        <w:trPr>
          <w:trHeight w:val="315"/>
        </w:trPr>
        <w:tc>
          <w:tcPr>
            <w:tcW w:w="5580" w:type="dxa"/>
            <w:vAlign w:val="bottom"/>
          </w:tcPr>
          <w:p w:rsidR="00C268E7" w:rsidRPr="00B37F23" w:rsidRDefault="00C268E7" w:rsidP="005620BD">
            <w:pPr>
              <w:spacing w:before="60" w:after="60" w:line="360" w:lineRule="auto"/>
              <w:jc w:val="both"/>
              <w:rPr>
                <w:rFonts w:eastAsia="SimSun"/>
                <w:b/>
                <w:sz w:val="22"/>
                <w:szCs w:val="22"/>
              </w:rPr>
            </w:pPr>
            <w:r w:rsidRPr="00B37F23">
              <w:rPr>
                <w:rFonts w:eastAsia="SimSun"/>
                <w:b/>
                <w:sz w:val="22"/>
                <w:szCs w:val="22"/>
              </w:rPr>
              <w:t>Дълготрайни активи</w:t>
            </w:r>
          </w:p>
        </w:tc>
        <w:tc>
          <w:tcPr>
            <w:tcW w:w="1440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71,924</w:t>
            </w:r>
          </w:p>
        </w:tc>
        <w:tc>
          <w:tcPr>
            <w:tcW w:w="1440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71,231</w:t>
            </w:r>
          </w:p>
        </w:tc>
        <w:tc>
          <w:tcPr>
            <w:tcW w:w="1260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1.0%</w:t>
            </w:r>
          </w:p>
        </w:tc>
      </w:tr>
      <w:tr w:rsidR="00C268E7" w:rsidRPr="00B37F23" w:rsidTr="005620BD">
        <w:trPr>
          <w:trHeight w:val="315"/>
        </w:trPr>
        <w:tc>
          <w:tcPr>
            <w:tcW w:w="5580" w:type="dxa"/>
            <w:vAlign w:val="bottom"/>
          </w:tcPr>
          <w:p w:rsidR="00C268E7" w:rsidRPr="00B37F23" w:rsidRDefault="00C268E7" w:rsidP="005620BD">
            <w:pPr>
              <w:spacing w:before="60" w:after="60" w:line="360" w:lineRule="auto"/>
              <w:jc w:val="both"/>
              <w:rPr>
                <w:sz w:val="22"/>
                <w:szCs w:val="22"/>
                <w:lang w:val="bg-BG"/>
              </w:rPr>
            </w:pPr>
            <w:r w:rsidRPr="00B37F23">
              <w:rPr>
                <w:sz w:val="22"/>
                <w:szCs w:val="22"/>
              </w:rPr>
              <w:t>в т.ч. По предоставени депозити в КТБ</w:t>
            </w:r>
          </w:p>
        </w:tc>
        <w:tc>
          <w:tcPr>
            <w:tcW w:w="1440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28,687</w:t>
            </w:r>
          </w:p>
        </w:tc>
        <w:tc>
          <w:tcPr>
            <w:tcW w:w="1440" w:type="dxa"/>
            <w:vAlign w:val="bottom"/>
          </w:tcPr>
          <w:p w:rsidR="00C268E7" w:rsidRPr="00B37F23" w:rsidRDefault="00C268E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bottom"/>
          </w:tcPr>
          <w:p w:rsidR="00C268E7" w:rsidRPr="00B37F23" w:rsidRDefault="00C268E7">
            <w:pPr>
              <w:rPr>
                <w:sz w:val="22"/>
                <w:szCs w:val="22"/>
              </w:rPr>
            </w:pPr>
          </w:p>
        </w:tc>
      </w:tr>
      <w:tr w:rsidR="00C268E7" w:rsidRPr="00B37F23" w:rsidTr="005620BD">
        <w:trPr>
          <w:trHeight w:val="315"/>
        </w:trPr>
        <w:tc>
          <w:tcPr>
            <w:tcW w:w="5580" w:type="dxa"/>
            <w:vAlign w:val="bottom"/>
          </w:tcPr>
          <w:p w:rsidR="00C268E7" w:rsidRPr="00B37F23" w:rsidRDefault="00C268E7" w:rsidP="005620BD">
            <w:pPr>
              <w:spacing w:before="60" w:after="60" w:line="360" w:lineRule="auto"/>
              <w:jc w:val="both"/>
              <w:rPr>
                <w:rFonts w:eastAsia="SimSun"/>
                <w:b/>
                <w:sz w:val="22"/>
                <w:szCs w:val="22"/>
              </w:rPr>
            </w:pPr>
            <w:r w:rsidRPr="00B37F23">
              <w:rPr>
                <w:rFonts w:eastAsia="SimSun"/>
                <w:b/>
                <w:sz w:val="22"/>
                <w:szCs w:val="22"/>
              </w:rPr>
              <w:t>Краткотрайни активи, в т.ч.:</w:t>
            </w:r>
          </w:p>
        </w:tc>
        <w:tc>
          <w:tcPr>
            <w:tcW w:w="1440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186,723</w:t>
            </w:r>
          </w:p>
        </w:tc>
        <w:tc>
          <w:tcPr>
            <w:tcW w:w="1440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182,381</w:t>
            </w:r>
          </w:p>
        </w:tc>
        <w:tc>
          <w:tcPr>
            <w:tcW w:w="1260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2.4%</w:t>
            </w:r>
          </w:p>
        </w:tc>
      </w:tr>
      <w:tr w:rsidR="00C268E7" w:rsidRPr="00B37F23" w:rsidTr="005620BD">
        <w:trPr>
          <w:trHeight w:val="315"/>
        </w:trPr>
        <w:tc>
          <w:tcPr>
            <w:tcW w:w="5580" w:type="dxa"/>
            <w:vAlign w:val="bottom"/>
          </w:tcPr>
          <w:p w:rsidR="00C268E7" w:rsidRPr="00B37F23" w:rsidRDefault="00C268E7" w:rsidP="005620BD">
            <w:pPr>
              <w:spacing w:before="60" w:after="60" w:line="360" w:lineRule="auto"/>
              <w:jc w:val="both"/>
              <w:rPr>
                <w:rFonts w:eastAsia="SimSun"/>
                <w:sz w:val="22"/>
                <w:szCs w:val="22"/>
              </w:rPr>
            </w:pPr>
            <w:r w:rsidRPr="00B37F23">
              <w:rPr>
                <w:rFonts w:eastAsia="SimSun"/>
                <w:sz w:val="22"/>
                <w:szCs w:val="22"/>
              </w:rPr>
              <w:t>Материални запаси</w:t>
            </w:r>
          </w:p>
        </w:tc>
        <w:tc>
          <w:tcPr>
            <w:tcW w:w="1440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9,597</w:t>
            </w:r>
          </w:p>
        </w:tc>
        <w:tc>
          <w:tcPr>
            <w:tcW w:w="1440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9,246</w:t>
            </w:r>
          </w:p>
        </w:tc>
        <w:tc>
          <w:tcPr>
            <w:tcW w:w="1260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3.8%</w:t>
            </w:r>
          </w:p>
        </w:tc>
      </w:tr>
      <w:tr w:rsidR="00C268E7" w:rsidRPr="00B37F23" w:rsidTr="005620BD">
        <w:trPr>
          <w:trHeight w:val="315"/>
        </w:trPr>
        <w:tc>
          <w:tcPr>
            <w:tcW w:w="5580" w:type="dxa"/>
            <w:vAlign w:val="bottom"/>
          </w:tcPr>
          <w:p w:rsidR="00C268E7" w:rsidRPr="00B37F23" w:rsidRDefault="00C268E7" w:rsidP="005620BD">
            <w:pPr>
              <w:spacing w:before="60" w:after="60" w:line="360" w:lineRule="auto"/>
              <w:jc w:val="both"/>
              <w:rPr>
                <w:rFonts w:eastAsia="SimSun"/>
                <w:sz w:val="22"/>
                <w:szCs w:val="22"/>
              </w:rPr>
            </w:pPr>
            <w:r w:rsidRPr="00B37F23">
              <w:rPr>
                <w:rFonts w:eastAsia="SimSun"/>
                <w:sz w:val="22"/>
                <w:szCs w:val="22"/>
              </w:rPr>
              <w:t>Краткосрочни вземания</w:t>
            </w:r>
          </w:p>
        </w:tc>
        <w:tc>
          <w:tcPr>
            <w:tcW w:w="1440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81,092</w:t>
            </w:r>
          </w:p>
        </w:tc>
        <w:tc>
          <w:tcPr>
            <w:tcW w:w="1440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92,294</w:t>
            </w:r>
          </w:p>
        </w:tc>
        <w:tc>
          <w:tcPr>
            <w:tcW w:w="1260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-12.1%</w:t>
            </w:r>
          </w:p>
        </w:tc>
      </w:tr>
      <w:tr w:rsidR="00C268E7" w:rsidRPr="00B37F23" w:rsidTr="005620BD">
        <w:trPr>
          <w:trHeight w:val="315"/>
        </w:trPr>
        <w:tc>
          <w:tcPr>
            <w:tcW w:w="5580" w:type="dxa"/>
            <w:vAlign w:val="bottom"/>
          </w:tcPr>
          <w:p w:rsidR="00C268E7" w:rsidRPr="00B37F23" w:rsidRDefault="00C268E7" w:rsidP="005620BD">
            <w:pPr>
              <w:spacing w:before="60" w:after="60" w:line="360" w:lineRule="auto"/>
              <w:jc w:val="both"/>
              <w:rPr>
                <w:rFonts w:eastAsia="SimSun"/>
                <w:sz w:val="22"/>
                <w:szCs w:val="22"/>
              </w:rPr>
            </w:pPr>
            <w:r w:rsidRPr="00B37F23">
              <w:rPr>
                <w:rFonts w:eastAsia="SimSun"/>
                <w:sz w:val="22"/>
                <w:szCs w:val="22"/>
              </w:rPr>
              <w:t>Парични средства</w:t>
            </w:r>
          </w:p>
        </w:tc>
        <w:tc>
          <w:tcPr>
            <w:tcW w:w="1440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95,114</w:t>
            </w:r>
          </w:p>
        </w:tc>
        <w:tc>
          <w:tcPr>
            <w:tcW w:w="1440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79,698</w:t>
            </w:r>
          </w:p>
        </w:tc>
        <w:tc>
          <w:tcPr>
            <w:tcW w:w="1260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19.3%</w:t>
            </w:r>
          </w:p>
        </w:tc>
      </w:tr>
      <w:tr w:rsidR="00C268E7" w:rsidRPr="00B37F23" w:rsidTr="005620BD">
        <w:trPr>
          <w:trHeight w:val="315"/>
        </w:trPr>
        <w:tc>
          <w:tcPr>
            <w:tcW w:w="5580" w:type="dxa"/>
            <w:vAlign w:val="bottom"/>
          </w:tcPr>
          <w:p w:rsidR="00C268E7" w:rsidRPr="00B37F23" w:rsidRDefault="00C268E7" w:rsidP="005620BD">
            <w:pPr>
              <w:spacing w:before="60" w:after="60" w:line="360" w:lineRule="auto"/>
              <w:jc w:val="both"/>
              <w:rPr>
                <w:rFonts w:eastAsia="SimSun"/>
                <w:b/>
                <w:sz w:val="22"/>
                <w:szCs w:val="22"/>
              </w:rPr>
            </w:pPr>
            <w:r w:rsidRPr="00B37F23">
              <w:rPr>
                <w:rFonts w:eastAsia="SimSun"/>
                <w:b/>
                <w:sz w:val="22"/>
                <w:szCs w:val="22"/>
              </w:rPr>
              <w:t>Краткосрочни пасиви, в т.ч.:</w:t>
            </w:r>
          </w:p>
        </w:tc>
        <w:tc>
          <w:tcPr>
            <w:tcW w:w="1440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130,668</w:t>
            </w:r>
          </w:p>
        </w:tc>
        <w:tc>
          <w:tcPr>
            <w:tcW w:w="1440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127,032</w:t>
            </w:r>
          </w:p>
        </w:tc>
        <w:tc>
          <w:tcPr>
            <w:tcW w:w="1260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2.9%</w:t>
            </w:r>
          </w:p>
        </w:tc>
      </w:tr>
      <w:tr w:rsidR="00C268E7" w:rsidRPr="00B37F23" w:rsidTr="005620BD">
        <w:trPr>
          <w:trHeight w:val="315"/>
        </w:trPr>
        <w:tc>
          <w:tcPr>
            <w:tcW w:w="5580" w:type="dxa"/>
            <w:vAlign w:val="bottom"/>
          </w:tcPr>
          <w:p w:rsidR="00C268E7" w:rsidRPr="00B37F23" w:rsidRDefault="00C268E7" w:rsidP="005620BD">
            <w:pPr>
              <w:spacing w:before="60" w:after="60" w:line="360" w:lineRule="auto"/>
              <w:jc w:val="both"/>
              <w:rPr>
                <w:rFonts w:eastAsia="SimSun"/>
                <w:sz w:val="22"/>
                <w:szCs w:val="22"/>
              </w:rPr>
            </w:pPr>
            <w:r w:rsidRPr="00B37F23">
              <w:rPr>
                <w:rFonts w:eastAsia="SimSun"/>
                <w:sz w:val="22"/>
                <w:szCs w:val="22"/>
              </w:rPr>
              <w:t>Краткосрочни задължения</w:t>
            </w:r>
          </w:p>
        </w:tc>
        <w:tc>
          <w:tcPr>
            <w:tcW w:w="1440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130,664</w:t>
            </w:r>
          </w:p>
        </w:tc>
        <w:tc>
          <w:tcPr>
            <w:tcW w:w="1440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127,028</w:t>
            </w:r>
          </w:p>
        </w:tc>
        <w:tc>
          <w:tcPr>
            <w:tcW w:w="1260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2.9%</w:t>
            </w:r>
          </w:p>
        </w:tc>
      </w:tr>
      <w:tr w:rsidR="00C268E7" w:rsidRPr="00B37F23" w:rsidTr="005620BD">
        <w:trPr>
          <w:trHeight w:val="315"/>
        </w:trPr>
        <w:tc>
          <w:tcPr>
            <w:tcW w:w="5580" w:type="dxa"/>
            <w:vAlign w:val="bottom"/>
          </w:tcPr>
          <w:p w:rsidR="00C268E7" w:rsidRPr="00B37F23" w:rsidRDefault="00C268E7" w:rsidP="005620BD">
            <w:pPr>
              <w:spacing w:before="60" w:after="60" w:line="360" w:lineRule="auto"/>
              <w:jc w:val="both"/>
              <w:rPr>
                <w:rFonts w:eastAsia="SimSun"/>
                <w:b/>
                <w:sz w:val="22"/>
                <w:szCs w:val="22"/>
              </w:rPr>
            </w:pPr>
            <w:r w:rsidRPr="00B37F23">
              <w:rPr>
                <w:rFonts w:eastAsia="SimSun"/>
                <w:b/>
                <w:sz w:val="22"/>
                <w:szCs w:val="22"/>
              </w:rPr>
              <w:t xml:space="preserve">Работен капитал </w:t>
            </w:r>
          </w:p>
        </w:tc>
        <w:tc>
          <w:tcPr>
            <w:tcW w:w="1440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56,055</w:t>
            </w:r>
          </w:p>
        </w:tc>
        <w:tc>
          <w:tcPr>
            <w:tcW w:w="1440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55,349</w:t>
            </w:r>
          </w:p>
        </w:tc>
        <w:tc>
          <w:tcPr>
            <w:tcW w:w="1260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1.3%</w:t>
            </w:r>
          </w:p>
        </w:tc>
      </w:tr>
      <w:tr w:rsidR="00C268E7" w:rsidRPr="00B37F23" w:rsidTr="005620BD">
        <w:trPr>
          <w:trHeight w:val="315"/>
        </w:trPr>
        <w:tc>
          <w:tcPr>
            <w:tcW w:w="5580" w:type="dxa"/>
            <w:vAlign w:val="bottom"/>
          </w:tcPr>
          <w:p w:rsidR="00C268E7" w:rsidRPr="00B37F23" w:rsidRDefault="00C268E7" w:rsidP="005620BD">
            <w:pPr>
              <w:spacing w:before="60" w:after="60" w:line="360" w:lineRule="auto"/>
              <w:jc w:val="both"/>
              <w:rPr>
                <w:rFonts w:eastAsia="SimSun"/>
                <w:b/>
                <w:sz w:val="22"/>
                <w:szCs w:val="22"/>
              </w:rPr>
            </w:pPr>
            <w:r w:rsidRPr="00B37F23">
              <w:rPr>
                <w:rFonts w:eastAsia="SimSun"/>
                <w:b/>
                <w:sz w:val="22"/>
                <w:szCs w:val="22"/>
              </w:rPr>
              <w:t>Зает капитал</w:t>
            </w:r>
          </w:p>
        </w:tc>
        <w:tc>
          <w:tcPr>
            <w:tcW w:w="1440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127,979</w:t>
            </w:r>
          </w:p>
        </w:tc>
        <w:tc>
          <w:tcPr>
            <w:tcW w:w="1440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126,580</w:t>
            </w:r>
          </w:p>
        </w:tc>
        <w:tc>
          <w:tcPr>
            <w:tcW w:w="1260" w:type="dxa"/>
            <w:vAlign w:val="bottom"/>
          </w:tcPr>
          <w:p w:rsidR="00C268E7" w:rsidRPr="00B37F23" w:rsidRDefault="00C268E7">
            <w:pPr>
              <w:jc w:val="right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1.1%</w:t>
            </w:r>
          </w:p>
        </w:tc>
      </w:tr>
      <w:tr w:rsidR="00C268E7" w:rsidRPr="00B37F23" w:rsidTr="005620BD">
        <w:trPr>
          <w:trHeight w:val="315"/>
        </w:trPr>
        <w:tc>
          <w:tcPr>
            <w:tcW w:w="5580" w:type="dxa"/>
            <w:vAlign w:val="bottom"/>
          </w:tcPr>
          <w:p w:rsidR="00C268E7" w:rsidRPr="00B37F23" w:rsidRDefault="00C268E7" w:rsidP="005620BD">
            <w:pPr>
              <w:spacing w:before="60" w:after="60" w:line="360" w:lineRule="auto"/>
              <w:jc w:val="both"/>
              <w:rPr>
                <w:rFonts w:eastAsia="SimSun"/>
                <w:b/>
                <w:sz w:val="22"/>
                <w:szCs w:val="22"/>
              </w:rPr>
            </w:pPr>
            <w:r w:rsidRPr="00B37F23">
              <w:rPr>
                <w:rFonts w:eastAsia="SimSun"/>
                <w:b/>
                <w:sz w:val="22"/>
                <w:szCs w:val="22"/>
              </w:rPr>
              <w:t>Дългосрочни пасиви</w:t>
            </w:r>
          </w:p>
        </w:tc>
        <w:tc>
          <w:tcPr>
            <w:tcW w:w="144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20,952</w:t>
            </w:r>
          </w:p>
        </w:tc>
        <w:tc>
          <w:tcPr>
            <w:tcW w:w="144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20,952</w:t>
            </w:r>
          </w:p>
        </w:tc>
        <w:tc>
          <w:tcPr>
            <w:tcW w:w="126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0.0%</w:t>
            </w:r>
          </w:p>
        </w:tc>
      </w:tr>
      <w:tr w:rsidR="00C268E7" w:rsidRPr="00B37F23" w:rsidTr="005620BD">
        <w:trPr>
          <w:trHeight w:val="315"/>
        </w:trPr>
        <w:tc>
          <w:tcPr>
            <w:tcW w:w="5580" w:type="dxa"/>
            <w:vAlign w:val="bottom"/>
          </w:tcPr>
          <w:p w:rsidR="00C268E7" w:rsidRPr="00B37F23" w:rsidRDefault="00C268E7" w:rsidP="005620BD">
            <w:pPr>
              <w:spacing w:before="60" w:after="60" w:line="360" w:lineRule="auto"/>
              <w:jc w:val="both"/>
              <w:rPr>
                <w:rFonts w:eastAsia="SimSun"/>
                <w:b/>
                <w:sz w:val="22"/>
                <w:szCs w:val="22"/>
              </w:rPr>
            </w:pPr>
            <w:r w:rsidRPr="00B37F23">
              <w:rPr>
                <w:rFonts w:eastAsia="SimSun"/>
                <w:b/>
                <w:sz w:val="22"/>
                <w:szCs w:val="22"/>
              </w:rPr>
              <w:t xml:space="preserve">Чиста стойност на активите </w:t>
            </w:r>
          </w:p>
        </w:tc>
        <w:tc>
          <w:tcPr>
            <w:tcW w:w="144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107,027</w:t>
            </w:r>
          </w:p>
        </w:tc>
        <w:tc>
          <w:tcPr>
            <w:tcW w:w="144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105,628</w:t>
            </w:r>
          </w:p>
        </w:tc>
        <w:tc>
          <w:tcPr>
            <w:tcW w:w="126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1.3%</w:t>
            </w:r>
          </w:p>
        </w:tc>
      </w:tr>
      <w:tr w:rsidR="00C268E7" w:rsidRPr="00B37F23" w:rsidTr="005620BD">
        <w:trPr>
          <w:trHeight w:val="315"/>
        </w:trPr>
        <w:tc>
          <w:tcPr>
            <w:tcW w:w="5580" w:type="dxa"/>
            <w:vAlign w:val="bottom"/>
          </w:tcPr>
          <w:p w:rsidR="00C268E7" w:rsidRPr="00B37F23" w:rsidRDefault="00C268E7" w:rsidP="005620BD">
            <w:pPr>
              <w:spacing w:before="60" w:after="60" w:line="360" w:lineRule="auto"/>
              <w:jc w:val="both"/>
              <w:rPr>
                <w:rFonts w:eastAsia="SimSun"/>
                <w:sz w:val="22"/>
                <w:szCs w:val="22"/>
              </w:rPr>
            </w:pPr>
            <w:r w:rsidRPr="00B37F23">
              <w:rPr>
                <w:rFonts w:eastAsia="SimSun"/>
                <w:sz w:val="22"/>
                <w:szCs w:val="22"/>
              </w:rPr>
              <w:t>Печалба ( загуба )</w:t>
            </w:r>
          </w:p>
        </w:tc>
        <w:tc>
          <w:tcPr>
            <w:tcW w:w="144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4,550</w:t>
            </w:r>
          </w:p>
        </w:tc>
        <w:tc>
          <w:tcPr>
            <w:tcW w:w="144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5,251</w:t>
            </w:r>
          </w:p>
        </w:tc>
        <w:tc>
          <w:tcPr>
            <w:tcW w:w="126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-13.3%</w:t>
            </w:r>
          </w:p>
        </w:tc>
      </w:tr>
      <w:tr w:rsidR="00C268E7" w:rsidRPr="00B37F23" w:rsidTr="005620BD">
        <w:trPr>
          <w:trHeight w:val="315"/>
        </w:trPr>
        <w:tc>
          <w:tcPr>
            <w:tcW w:w="5580" w:type="dxa"/>
            <w:vAlign w:val="bottom"/>
          </w:tcPr>
          <w:p w:rsidR="00C268E7" w:rsidRPr="00B37F23" w:rsidRDefault="00C268E7" w:rsidP="005620BD">
            <w:pPr>
              <w:pStyle w:val="Heading2"/>
              <w:spacing w:before="60" w:after="6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37F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Резерви </w:t>
            </w:r>
          </w:p>
        </w:tc>
        <w:tc>
          <w:tcPr>
            <w:tcW w:w="144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97,082</w:t>
            </w:r>
          </w:p>
        </w:tc>
        <w:tc>
          <w:tcPr>
            <w:tcW w:w="144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94,982</w:t>
            </w:r>
          </w:p>
        </w:tc>
        <w:tc>
          <w:tcPr>
            <w:tcW w:w="126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2.2%</w:t>
            </w:r>
          </w:p>
        </w:tc>
      </w:tr>
      <w:tr w:rsidR="00C268E7" w:rsidRPr="00B37F23" w:rsidTr="005620BD">
        <w:trPr>
          <w:trHeight w:val="315"/>
        </w:trPr>
        <w:tc>
          <w:tcPr>
            <w:tcW w:w="5580" w:type="dxa"/>
            <w:vAlign w:val="bottom"/>
          </w:tcPr>
          <w:p w:rsidR="00C268E7" w:rsidRPr="00B37F23" w:rsidRDefault="00C268E7" w:rsidP="005620BD">
            <w:pPr>
              <w:spacing w:before="60" w:after="60" w:line="360" w:lineRule="auto"/>
              <w:jc w:val="both"/>
              <w:rPr>
                <w:rFonts w:eastAsia="SimSun"/>
                <w:sz w:val="22"/>
                <w:szCs w:val="22"/>
              </w:rPr>
            </w:pPr>
            <w:r w:rsidRPr="00B37F23">
              <w:rPr>
                <w:rFonts w:eastAsia="SimSun"/>
                <w:sz w:val="22"/>
                <w:szCs w:val="22"/>
              </w:rPr>
              <w:t>Основен капитал</w:t>
            </w:r>
          </w:p>
        </w:tc>
        <w:tc>
          <w:tcPr>
            <w:tcW w:w="144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5,395</w:t>
            </w:r>
          </w:p>
        </w:tc>
        <w:tc>
          <w:tcPr>
            <w:tcW w:w="144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5,395</w:t>
            </w:r>
          </w:p>
        </w:tc>
        <w:tc>
          <w:tcPr>
            <w:tcW w:w="1260" w:type="dxa"/>
            <w:vAlign w:val="bottom"/>
          </w:tcPr>
          <w:p w:rsidR="00C268E7" w:rsidRPr="00B37F23" w:rsidRDefault="00C268E7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0.0%</w:t>
            </w:r>
          </w:p>
        </w:tc>
      </w:tr>
      <w:tr w:rsidR="00C268E7" w:rsidRPr="00B37F23" w:rsidTr="005620BD">
        <w:trPr>
          <w:trHeight w:val="315"/>
        </w:trPr>
        <w:tc>
          <w:tcPr>
            <w:tcW w:w="5580" w:type="dxa"/>
            <w:vAlign w:val="bottom"/>
          </w:tcPr>
          <w:p w:rsidR="00C268E7" w:rsidRPr="00B37F23" w:rsidRDefault="00C268E7" w:rsidP="00E4451B">
            <w:pPr>
              <w:spacing w:before="60" w:after="60"/>
              <w:jc w:val="both"/>
              <w:rPr>
                <w:rFonts w:eastAsia="SimSun"/>
                <w:b/>
                <w:sz w:val="22"/>
                <w:szCs w:val="22"/>
              </w:rPr>
            </w:pPr>
            <w:r w:rsidRPr="00B37F23">
              <w:rPr>
                <w:rFonts w:eastAsia="SimSun"/>
                <w:b/>
                <w:sz w:val="22"/>
                <w:szCs w:val="22"/>
              </w:rPr>
              <w:t>Собствен капитал</w:t>
            </w:r>
          </w:p>
        </w:tc>
        <w:tc>
          <w:tcPr>
            <w:tcW w:w="1440" w:type="dxa"/>
            <w:vAlign w:val="bottom"/>
          </w:tcPr>
          <w:p w:rsidR="00C268E7" w:rsidRPr="00B37F23" w:rsidRDefault="00C268E7" w:rsidP="00E4451B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107,027</w:t>
            </w:r>
          </w:p>
        </w:tc>
        <w:tc>
          <w:tcPr>
            <w:tcW w:w="1440" w:type="dxa"/>
            <w:vAlign w:val="bottom"/>
          </w:tcPr>
          <w:p w:rsidR="00C268E7" w:rsidRPr="00B37F23" w:rsidRDefault="00C268E7" w:rsidP="00E4451B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105,628</w:t>
            </w:r>
          </w:p>
        </w:tc>
        <w:tc>
          <w:tcPr>
            <w:tcW w:w="1260" w:type="dxa"/>
            <w:vAlign w:val="bottom"/>
          </w:tcPr>
          <w:p w:rsidR="00C268E7" w:rsidRPr="00B37F23" w:rsidRDefault="00C268E7" w:rsidP="00E4451B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1.3%</w:t>
            </w:r>
          </w:p>
        </w:tc>
      </w:tr>
    </w:tbl>
    <w:p w:rsidR="00C268E7" w:rsidRPr="00B37F23" w:rsidRDefault="00C268E7" w:rsidP="00E4451B">
      <w:pPr>
        <w:jc w:val="both"/>
        <w:rPr>
          <w:sz w:val="22"/>
          <w:szCs w:val="22"/>
          <w:lang w:val="bg-BG"/>
        </w:rPr>
      </w:pPr>
    </w:p>
    <w:p w:rsidR="00C268E7" w:rsidRPr="00B37F23" w:rsidRDefault="00C268E7" w:rsidP="00330B0D">
      <w:pPr>
        <w:ind w:firstLine="709"/>
        <w:jc w:val="both"/>
        <w:rPr>
          <w:sz w:val="22"/>
          <w:szCs w:val="22"/>
          <w:lang w:val="bg-BG"/>
        </w:rPr>
      </w:pPr>
      <w:r w:rsidRPr="00B37F23">
        <w:rPr>
          <w:sz w:val="22"/>
          <w:szCs w:val="22"/>
          <w:lang w:val="bg-BG"/>
        </w:rPr>
        <w:t xml:space="preserve">Намалението на краткосрочните вземания от началото на годината е от намаление на разчетите от Споразуменията за заем и управление. </w:t>
      </w:r>
    </w:p>
    <w:p w:rsidR="00C268E7" w:rsidRPr="00B37F23" w:rsidRDefault="00C268E7" w:rsidP="00330B0D">
      <w:pPr>
        <w:ind w:firstLine="709"/>
        <w:jc w:val="both"/>
        <w:rPr>
          <w:sz w:val="22"/>
          <w:szCs w:val="22"/>
        </w:rPr>
      </w:pPr>
    </w:p>
    <w:p w:rsidR="00C268E7" w:rsidRPr="00B37F23" w:rsidRDefault="00C268E7" w:rsidP="00330B0D">
      <w:pPr>
        <w:ind w:firstLine="709"/>
        <w:jc w:val="both"/>
        <w:rPr>
          <w:sz w:val="22"/>
          <w:szCs w:val="22"/>
        </w:rPr>
      </w:pPr>
    </w:p>
    <w:p w:rsidR="00C268E7" w:rsidRPr="00B37F23" w:rsidRDefault="00C268E7" w:rsidP="00330B0D">
      <w:pPr>
        <w:ind w:firstLine="709"/>
        <w:jc w:val="both"/>
        <w:rPr>
          <w:sz w:val="22"/>
          <w:szCs w:val="22"/>
        </w:rPr>
      </w:pPr>
    </w:p>
    <w:p w:rsidR="00C268E7" w:rsidRPr="00B37F23" w:rsidRDefault="00C268E7" w:rsidP="00B37F23">
      <w:pPr>
        <w:pStyle w:val="ListParagraph"/>
        <w:numPr>
          <w:ilvl w:val="0"/>
          <w:numId w:val="33"/>
        </w:numPr>
        <w:jc w:val="both"/>
        <w:rPr>
          <w:b/>
          <w:i/>
          <w:sz w:val="22"/>
          <w:szCs w:val="22"/>
          <w:u w:val="single"/>
        </w:rPr>
      </w:pPr>
      <w:r w:rsidRPr="00B37F23">
        <w:rPr>
          <w:b/>
          <w:i/>
          <w:sz w:val="22"/>
          <w:szCs w:val="22"/>
          <w:u w:val="single"/>
        </w:rPr>
        <w:t xml:space="preserve">АНАЛИЗ ЗА ИЗПЪЛНЕНИЕТО НА НАТУРАЛНИ </w:t>
      </w:r>
      <w:r w:rsidRPr="00B37F23">
        <w:rPr>
          <w:b/>
          <w:i/>
          <w:sz w:val="22"/>
          <w:szCs w:val="22"/>
          <w:u w:val="single"/>
          <w:lang w:val="bg-BG"/>
        </w:rPr>
        <w:t>ПОКАЗАТЕЛИ</w:t>
      </w:r>
    </w:p>
    <w:p w:rsidR="00C268E7" w:rsidRPr="00B37F23" w:rsidRDefault="00C268E7" w:rsidP="00B37F23">
      <w:pPr>
        <w:pStyle w:val="ListParagraph"/>
        <w:ind w:left="1428"/>
        <w:jc w:val="both"/>
        <w:rPr>
          <w:b/>
          <w:i/>
          <w:sz w:val="22"/>
          <w:szCs w:val="22"/>
          <w:u w:val="single"/>
        </w:rPr>
      </w:pPr>
    </w:p>
    <w:tbl>
      <w:tblPr>
        <w:tblW w:w="99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4860"/>
        <w:gridCol w:w="1236"/>
        <w:gridCol w:w="1134"/>
        <w:gridCol w:w="708"/>
        <w:gridCol w:w="1134"/>
        <w:gridCol w:w="851"/>
      </w:tblGrid>
      <w:tr w:rsidR="00C268E7" w:rsidRPr="00B37F23" w:rsidTr="001D1F6F">
        <w:trPr>
          <w:trHeight w:val="1182"/>
        </w:trPr>
        <w:tc>
          <w:tcPr>
            <w:tcW w:w="4875" w:type="dxa"/>
            <w:gridSpan w:val="2"/>
            <w:vAlign w:val="center"/>
          </w:tcPr>
          <w:p w:rsidR="00C268E7" w:rsidRPr="00B37F23" w:rsidRDefault="00C268E7" w:rsidP="001D1F6F">
            <w:pPr>
              <w:spacing w:line="360" w:lineRule="auto"/>
              <w:jc w:val="both"/>
              <w:rPr>
                <w:rFonts w:eastAsia="SimSun"/>
                <w:b/>
                <w:sz w:val="22"/>
                <w:szCs w:val="22"/>
                <w:lang w:val="bg-BG"/>
              </w:rPr>
            </w:pPr>
            <w:r w:rsidRPr="00B37F23">
              <w:rPr>
                <w:rFonts w:eastAsia="SimSun"/>
                <w:b/>
                <w:sz w:val="22"/>
                <w:szCs w:val="22"/>
                <w:lang w:val="bg-BG"/>
              </w:rPr>
              <w:t>НАТУРАЛНИ ПОКАЗАТЕЛИ</w:t>
            </w:r>
          </w:p>
        </w:tc>
        <w:tc>
          <w:tcPr>
            <w:tcW w:w="1236" w:type="dxa"/>
            <w:vAlign w:val="center"/>
          </w:tcPr>
          <w:p w:rsidR="00C268E7" w:rsidRPr="00B37F23" w:rsidRDefault="00C268E7" w:rsidP="001D1F6F">
            <w:pPr>
              <w:spacing w:line="360" w:lineRule="auto"/>
              <w:jc w:val="center"/>
              <w:rPr>
                <w:rFonts w:eastAsia="SimSun"/>
                <w:b/>
                <w:sz w:val="22"/>
                <w:szCs w:val="22"/>
                <w:lang w:val="bg-BG"/>
              </w:rPr>
            </w:pPr>
            <w:r w:rsidRPr="00B37F23">
              <w:rPr>
                <w:rFonts w:eastAsia="SimSun"/>
                <w:b/>
                <w:sz w:val="22"/>
                <w:szCs w:val="22"/>
                <w:lang w:val="bg-BG"/>
              </w:rPr>
              <w:t>отчетен период</w:t>
            </w:r>
          </w:p>
        </w:tc>
        <w:tc>
          <w:tcPr>
            <w:tcW w:w="1134" w:type="dxa"/>
            <w:vAlign w:val="center"/>
          </w:tcPr>
          <w:p w:rsidR="00C268E7" w:rsidRPr="00B37F23" w:rsidRDefault="00C268E7" w:rsidP="001D1F6F">
            <w:pPr>
              <w:spacing w:line="360" w:lineRule="auto"/>
              <w:jc w:val="center"/>
              <w:rPr>
                <w:rFonts w:eastAsia="SimSun"/>
                <w:b/>
                <w:sz w:val="22"/>
                <w:szCs w:val="22"/>
                <w:lang w:val="bg-BG"/>
              </w:rPr>
            </w:pPr>
            <w:r w:rsidRPr="00B37F23">
              <w:rPr>
                <w:rFonts w:eastAsia="SimSun"/>
                <w:b/>
                <w:sz w:val="22"/>
                <w:szCs w:val="22"/>
                <w:lang w:val="bg-BG"/>
              </w:rPr>
              <w:t>бизнес план</w:t>
            </w:r>
          </w:p>
        </w:tc>
        <w:tc>
          <w:tcPr>
            <w:tcW w:w="708" w:type="dxa"/>
            <w:vAlign w:val="center"/>
          </w:tcPr>
          <w:p w:rsidR="00C268E7" w:rsidRPr="00B37F23" w:rsidRDefault="00C268E7" w:rsidP="001D1F6F">
            <w:pPr>
              <w:spacing w:line="360" w:lineRule="auto"/>
              <w:jc w:val="center"/>
              <w:rPr>
                <w:rFonts w:eastAsia="SimSun"/>
                <w:b/>
                <w:sz w:val="22"/>
                <w:szCs w:val="22"/>
                <w:lang w:val="bg-BG"/>
              </w:rPr>
            </w:pPr>
            <w:r w:rsidRPr="00B37F23">
              <w:rPr>
                <w:rFonts w:eastAsia="SimSun"/>
                <w:b/>
                <w:sz w:val="22"/>
                <w:szCs w:val="22"/>
                <w:lang w:val="bg-BG"/>
              </w:rPr>
              <w:t>1/2 (%)</w:t>
            </w:r>
          </w:p>
        </w:tc>
        <w:tc>
          <w:tcPr>
            <w:tcW w:w="1134" w:type="dxa"/>
            <w:vAlign w:val="center"/>
          </w:tcPr>
          <w:p w:rsidR="00C268E7" w:rsidRPr="00B37F23" w:rsidRDefault="00C268E7" w:rsidP="001D1F6F">
            <w:pPr>
              <w:spacing w:line="360" w:lineRule="auto"/>
              <w:jc w:val="center"/>
              <w:rPr>
                <w:rFonts w:eastAsia="SimSun"/>
                <w:b/>
                <w:sz w:val="22"/>
                <w:szCs w:val="22"/>
                <w:lang w:val="bg-BG"/>
              </w:rPr>
            </w:pPr>
            <w:r w:rsidRPr="00B37F23">
              <w:rPr>
                <w:rFonts w:eastAsia="SimSun"/>
                <w:b/>
                <w:sz w:val="22"/>
                <w:szCs w:val="22"/>
                <w:lang w:val="bg-BG"/>
              </w:rPr>
              <w:t>съответен период на предходна година</w:t>
            </w:r>
          </w:p>
        </w:tc>
        <w:tc>
          <w:tcPr>
            <w:tcW w:w="851" w:type="dxa"/>
            <w:vAlign w:val="center"/>
          </w:tcPr>
          <w:p w:rsidR="00C268E7" w:rsidRPr="00B37F23" w:rsidRDefault="00C268E7" w:rsidP="001D1F6F">
            <w:pPr>
              <w:spacing w:line="360" w:lineRule="auto"/>
              <w:jc w:val="center"/>
              <w:rPr>
                <w:rFonts w:eastAsia="SimSun"/>
                <w:b/>
                <w:sz w:val="22"/>
                <w:szCs w:val="22"/>
                <w:lang w:val="bg-BG"/>
              </w:rPr>
            </w:pPr>
            <w:r w:rsidRPr="00B37F23">
              <w:rPr>
                <w:rFonts w:eastAsia="SimSun"/>
                <w:b/>
                <w:sz w:val="22"/>
                <w:szCs w:val="22"/>
                <w:lang w:val="bg-BG"/>
              </w:rPr>
              <w:t>1/3 (%)</w:t>
            </w:r>
          </w:p>
        </w:tc>
      </w:tr>
      <w:tr w:rsidR="00C268E7" w:rsidRPr="00B37F23" w:rsidTr="001D1F6F">
        <w:trPr>
          <w:trHeight w:val="328"/>
        </w:trPr>
        <w:tc>
          <w:tcPr>
            <w:tcW w:w="4875" w:type="dxa"/>
            <w:gridSpan w:val="2"/>
            <w:vAlign w:val="center"/>
          </w:tcPr>
          <w:p w:rsidR="00C268E7" w:rsidRPr="00B37F23" w:rsidRDefault="00C268E7" w:rsidP="001D1F6F">
            <w:pPr>
              <w:spacing w:line="360" w:lineRule="auto"/>
              <w:jc w:val="both"/>
              <w:rPr>
                <w:rFonts w:eastAsia="SimSun"/>
                <w:b/>
                <w:sz w:val="22"/>
                <w:szCs w:val="22"/>
                <w:lang w:val="bg-BG"/>
              </w:rPr>
            </w:pPr>
          </w:p>
        </w:tc>
        <w:tc>
          <w:tcPr>
            <w:tcW w:w="1236" w:type="dxa"/>
            <w:vAlign w:val="center"/>
          </w:tcPr>
          <w:p w:rsidR="00C268E7" w:rsidRPr="00B37F23" w:rsidRDefault="00C268E7" w:rsidP="001D1F6F">
            <w:pPr>
              <w:spacing w:line="360" w:lineRule="auto"/>
              <w:jc w:val="center"/>
              <w:rPr>
                <w:rFonts w:eastAsia="SimSun"/>
                <w:b/>
                <w:sz w:val="22"/>
                <w:szCs w:val="22"/>
                <w:lang w:val="bg-BG"/>
              </w:rPr>
            </w:pPr>
            <w:r w:rsidRPr="00B37F23">
              <w:rPr>
                <w:rFonts w:eastAsia="SimSun"/>
                <w:b/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vAlign w:val="center"/>
          </w:tcPr>
          <w:p w:rsidR="00C268E7" w:rsidRPr="00B37F23" w:rsidRDefault="00C268E7" w:rsidP="001D1F6F">
            <w:pPr>
              <w:spacing w:line="360" w:lineRule="auto"/>
              <w:jc w:val="center"/>
              <w:rPr>
                <w:rFonts w:eastAsia="SimSun"/>
                <w:b/>
                <w:sz w:val="22"/>
                <w:szCs w:val="22"/>
                <w:lang w:val="bg-BG"/>
              </w:rPr>
            </w:pPr>
            <w:r w:rsidRPr="00B37F23">
              <w:rPr>
                <w:rFonts w:eastAsia="SimSun"/>
                <w:b/>
                <w:sz w:val="22"/>
                <w:szCs w:val="22"/>
                <w:lang w:val="bg-BG"/>
              </w:rPr>
              <w:t>2</w:t>
            </w:r>
          </w:p>
        </w:tc>
        <w:tc>
          <w:tcPr>
            <w:tcW w:w="708" w:type="dxa"/>
            <w:vAlign w:val="center"/>
          </w:tcPr>
          <w:p w:rsidR="00C268E7" w:rsidRPr="00B37F23" w:rsidRDefault="00C268E7" w:rsidP="001D1F6F">
            <w:pPr>
              <w:spacing w:line="360" w:lineRule="auto"/>
              <w:jc w:val="center"/>
              <w:rPr>
                <w:rFonts w:eastAsia="SimSun"/>
                <w:b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C268E7" w:rsidRPr="00B37F23" w:rsidRDefault="00C268E7" w:rsidP="001D1F6F">
            <w:pPr>
              <w:spacing w:line="360" w:lineRule="auto"/>
              <w:jc w:val="center"/>
              <w:rPr>
                <w:rFonts w:eastAsia="SimSun"/>
                <w:b/>
                <w:sz w:val="22"/>
                <w:szCs w:val="22"/>
                <w:lang w:val="bg-BG"/>
              </w:rPr>
            </w:pPr>
            <w:r w:rsidRPr="00B37F23">
              <w:rPr>
                <w:rFonts w:eastAsia="SimSun"/>
                <w:b/>
                <w:sz w:val="22"/>
                <w:szCs w:val="22"/>
                <w:lang w:val="bg-BG"/>
              </w:rPr>
              <w:t>3</w:t>
            </w:r>
          </w:p>
        </w:tc>
        <w:tc>
          <w:tcPr>
            <w:tcW w:w="851" w:type="dxa"/>
            <w:vAlign w:val="center"/>
          </w:tcPr>
          <w:p w:rsidR="00C268E7" w:rsidRPr="00B37F23" w:rsidRDefault="00C268E7" w:rsidP="001D1F6F">
            <w:pPr>
              <w:spacing w:line="360" w:lineRule="auto"/>
              <w:jc w:val="center"/>
              <w:rPr>
                <w:rFonts w:eastAsia="SimSun"/>
                <w:b/>
                <w:sz w:val="22"/>
                <w:szCs w:val="22"/>
                <w:lang w:val="bg-BG"/>
              </w:rPr>
            </w:pPr>
          </w:p>
        </w:tc>
      </w:tr>
      <w:tr w:rsidR="00C268E7" w:rsidRPr="00B37F23" w:rsidTr="001D1F6F">
        <w:trPr>
          <w:trHeight w:val="357"/>
        </w:trPr>
        <w:tc>
          <w:tcPr>
            <w:tcW w:w="4875" w:type="dxa"/>
            <w:gridSpan w:val="2"/>
            <w:vAlign w:val="bottom"/>
          </w:tcPr>
          <w:p w:rsidR="00C268E7" w:rsidRPr="00B37F23" w:rsidRDefault="00C268E7" w:rsidP="001D1F6F">
            <w:pPr>
              <w:spacing w:line="240" w:lineRule="atLeast"/>
              <w:jc w:val="both"/>
              <w:rPr>
                <w:b/>
                <w:bCs/>
                <w:sz w:val="22"/>
                <w:szCs w:val="22"/>
              </w:rPr>
            </w:pPr>
            <w:r w:rsidRPr="00B37F23">
              <w:rPr>
                <w:b/>
                <w:bCs/>
                <w:sz w:val="22"/>
                <w:szCs w:val="22"/>
              </w:rPr>
              <w:t>1.Излетяли и кацнали самолети - самолетодвижения</w:t>
            </w:r>
          </w:p>
        </w:tc>
        <w:tc>
          <w:tcPr>
            <w:tcW w:w="1236" w:type="dxa"/>
            <w:vAlign w:val="bottom"/>
          </w:tcPr>
          <w:p w:rsidR="00C268E7" w:rsidRPr="00B37F23" w:rsidRDefault="00C268E7" w:rsidP="001D1F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>33,767</w:t>
            </w:r>
          </w:p>
        </w:tc>
        <w:tc>
          <w:tcPr>
            <w:tcW w:w="1134" w:type="dxa"/>
            <w:vAlign w:val="bottom"/>
          </w:tcPr>
          <w:p w:rsidR="00C268E7" w:rsidRPr="00B37F23" w:rsidRDefault="00C268E7" w:rsidP="001D1F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>33,451</w:t>
            </w:r>
          </w:p>
        </w:tc>
        <w:tc>
          <w:tcPr>
            <w:tcW w:w="708" w:type="dxa"/>
            <w:vAlign w:val="bottom"/>
          </w:tcPr>
          <w:p w:rsidR="00C268E7" w:rsidRPr="00B37F23" w:rsidRDefault="00C268E7" w:rsidP="001D1F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>0.9</w:t>
            </w:r>
          </w:p>
        </w:tc>
        <w:tc>
          <w:tcPr>
            <w:tcW w:w="1134" w:type="dxa"/>
            <w:vAlign w:val="bottom"/>
          </w:tcPr>
          <w:p w:rsidR="00C268E7" w:rsidRPr="00B37F23" w:rsidRDefault="00C268E7" w:rsidP="001D1F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>32,059</w:t>
            </w:r>
          </w:p>
        </w:tc>
        <w:tc>
          <w:tcPr>
            <w:tcW w:w="851" w:type="dxa"/>
            <w:vAlign w:val="bottom"/>
          </w:tcPr>
          <w:p w:rsidR="00C268E7" w:rsidRPr="00B37F23" w:rsidRDefault="00C268E7" w:rsidP="001D1F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>5.3</w:t>
            </w:r>
          </w:p>
        </w:tc>
      </w:tr>
      <w:tr w:rsidR="00C268E7" w:rsidRPr="00B37F23" w:rsidTr="001D1F6F">
        <w:trPr>
          <w:trHeight w:val="200"/>
        </w:trPr>
        <w:tc>
          <w:tcPr>
            <w:tcW w:w="4875" w:type="dxa"/>
            <w:gridSpan w:val="2"/>
            <w:vAlign w:val="bottom"/>
          </w:tcPr>
          <w:p w:rsidR="00C268E7" w:rsidRPr="00B37F23" w:rsidRDefault="00C268E7" w:rsidP="001D1F6F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- вътрешни линии</w:t>
            </w:r>
          </w:p>
        </w:tc>
        <w:tc>
          <w:tcPr>
            <w:tcW w:w="1236" w:type="dxa"/>
            <w:vAlign w:val="bottom"/>
          </w:tcPr>
          <w:p w:rsidR="00C268E7" w:rsidRPr="00B37F23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1,699</w:t>
            </w:r>
          </w:p>
        </w:tc>
        <w:tc>
          <w:tcPr>
            <w:tcW w:w="1134" w:type="dxa"/>
            <w:vAlign w:val="bottom"/>
          </w:tcPr>
          <w:p w:rsidR="00C268E7" w:rsidRPr="00B37F23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1,729</w:t>
            </w:r>
          </w:p>
        </w:tc>
        <w:tc>
          <w:tcPr>
            <w:tcW w:w="708" w:type="dxa"/>
            <w:vAlign w:val="bottom"/>
          </w:tcPr>
          <w:p w:rsidR="00C268E7" w:rsidRPr="00B37F23" w:rsidRDefault="00C268E7" w:rsidP="001D1F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>1.7</w:t>
            </w:r>
          </w:p>
        </w:tc>
        <w:tc>
          <w:tcPr>
            <w:tcW w:w="1134" w:type="dxa"/>
            <w:vAlign w:val="bottom"/>
          </w:tcPr>
          <w:p w:rsidR="00C268E7" w:rsidRPr="00B37F23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1,696</w:t>
            </w:r>
          </w:p>
        </w:tc>
        <w:tc>
          <w:tcPr>
            <w:tcW w:w="851" w:type="dxa"/>
            <w:vAlign w:val="bottom"/>
          </w:tcPr>
          <w:p w:rsidR="00C268E7" w:rsidRPr="00B37F23" w:rsidRDefault="00C268E7" w:rsidP="001D1F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>0.2</w:t>
            </w:r>
          </w:p>
        </w:tc>
      </w:tr>
      <w:tr w:rsidR="00C268E7" w:rsidRPr="00B37F23" w:rsidTr="001D1F6F">
        <w:trPr>
          <w:trHeight w:val="182"/>
        </w:trPr>
        <w:tc>
          <w:tcPr>
            <w:tcW w:w="4875" w:type="dxa"/>
            <w:gridSpan w:val="2"/>
            <w:vAlign w:val="bottom"/>
          </w:tcPr>
          <w:p w:rsidR="00C268E7" w:rsidRPr="00B37F23" w:rsidRDefault="00C268E7" w:rsidP="001D1F6F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- международни линии</w:t>
            </w:r>
          </w:p>
        </w:tc>
        <w:tc>
          <w:tcPr>
            <w:tcW w:w="1236" w:type="dxa"/>
            <w:vAlign w:val="bottom"/>
          </w:tcPr>
          <w:p w:rsidR="00C268E7" w:rsidRPr="00B37F23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32,068</w:t>
            </w:r>
          </w:p>
        </w:tc>
        <w:tc>
          <w:tcPr>
            <w:tcW w:w="1134" w:type="dxa"/>
            <w:vAlign w:val="bottom"/>
          </w:tcPr>
          <w:p w:rsidR="00C268E7" w:rsidRPr="00B37F23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31,722</w:t>
            </w:r>
          </w:p>
        </w:tc>
        <w:tc>
          <w:tcPr>
            <w:tcW w:w="708" w:type="dxa"/>
            <w:vAlign w:val="bottom"/>
          </w:tcPr>
          <w:p w:rsidR="00C268E7" w:rsidRPr="00B37F23" w:rsidRDefault="00C268E7" w:rsidP="001D1F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134" w:type="dxa"/>
            <w:vAlign w:val="bottom"/>
          </w:tcPr>
          <w:p w:rsidR="00C268E7" w:rsidRPr="00B37F23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30,363</w:t>
            </w:r>
          </w:p>
        </w:tc>
        <w:tc>
          <w:tcPr>
            <w:tcW w:w="851" w:type="dxa"/>
            <w:vAlign w:val="bottom"/>
          </w:tcPr>
          <w:p w:rsidR="00C268E7" w:rsidRPr="00B37F23" w:rsidRDefault="00C268E7" w:rsidP="001D1F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>5.6</w:t>
            </w:r>
          </w:p>
        </w:tc>
      </w:tr>
      <w:tr w:rsidR="00C268E7" w:rsidRPr="00B37F23" w:rsidTr="001D1F6F">
        <w:trPr>
          <w:gridBefore w:val="1"/>
          <w:wBefore w:w="15" w:type="dxa"/>
          <w:trHeight w:val="270"/>
        </w:trPr>
        <w:tc>
          <w:tcPr>
            <w:tcW w:w="4860" w:type="dxa"/>
            <w:vAlign w:val="bottom"/>
          </w:tcPr>
          <w:p w:rsidR="00C268E7" w:rsidRPr="00B37F23" w:rsidRDefault="00C268E7" w:rsidP="001D1F6F">
            <w:pPr>
              <w:spacing w:line="240" w:lineRule="atLeast"/>
              <w:jc w:val="both"/>
              <w:rPr>
                <w:b/>
                <w:bCs/>
                <w:sz w:val="22"/>
                <w:szCs w:val="22"/>
              </w:rPr>
            </w:pPr>
            <w:r w:rsidRPr="00B37F23">
              <w:rPr>
                <w:b/>
                <w:bCs/>
                <w:sz w:val="22"/>
                <w:szCs w:val="22"/>
              </w:rPr>
              <w:t>2. Обслужени наземно самолети (бр.)</w:t>
            </w:r>
          </w:p>
        </w:tc>
        <w:tc>
          <w:tcPr>
            <w:tcW w:w="1236" w:type="dxa"/>
            <w:vAlign w:val="bottom"/>
          </w:tcPr>
          <w:p w:rsidR="00C268E7" w:rsidRPr="00B37F23" w:rsidRDefault="00C268E7" w:rsidP="001D1F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>6,804</w:t>
            </w:r>
          </w:p>
        </w:tc>
        <w:tc>
          <w:tcPr>
            <w:tcW w:w="1134" w:type="dxa"/>
            <w:vAlign w:val="bottom"/>
          </w:tcPr>
          <w:p w:rsidR="00C268E7" w:rsidRPr="00B37F23" w:rsidRDefault="00C268E7" w:rsidP="001D1F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>6,465</w:t>
            </w:r>
          </w:p>
        </w:tc>
        <w:tc>
          <w:tcPr>
            <w:tcW w:w="708" w:type="dxa"/>
            <w:vAlign w:val="bottom"/>
          </w:tcPr>
          <w:p w:rsidR="00C268E7" w:rsidRPr="00B37F23" w:rsidRDefault="00C268E7" w:rsidP="001D1F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>5.2</w:t>
            </w:r>
          </w:p>
        </w:tc>
        <w:tc>
          <w:tcPr>
            <w:tcW w:w="1134" w:type="dxa"/>
            <w:vAlign w:val="bottom"/>
          </w:tcPr>
          <w:p w:rsidR="00C268E7" w:rsidRPr="00B37F23" w:rsidRDefault="00C268E7" w:rsidP="001D1F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>6,533</w:t>
            </w:r>
          </w:p>
        </w:tc>
        <w:tc>
          <w:tcPr>
            <w:tcW w:w="851" w:type="dxa"/>
            <w:vAlign w:val="bottom"/>
          </w:tcPr>
          <w:p w:rsidR="00C268E7" w:rsidRPr="00B37F23" w:rsidRDefault="00C268E7" w:rsidP="001D1F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>4.1</w:t>
            </w:r>
          </w:p>
        </w:tc>
      </w:tr>
      <w:tr w:rsidR="00C268E7" w:rsidRPr="00B37F23" w:rsidTr="001D1F6F">
        <w:trPr>
          <w:gridBefore w:val="1"/>
          <w:wBefore w:w="15" w:type="dxa"/>
          <w:trHeight w:val="255"/>
        </w:trPr>
        <w:tc>
          <w:tcPr>
            <w:tcW w:w="4860" w:type="dxa"/>
            <w:vAlign w:val="bottom"/>
          </w:tcPr>
          <w:p w:rsidR="00C268E7" w:rsidRPr="00B37F23" w:rsidRDefault="00C268E7" w:rsidP="001D1F6F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- вътрешни линии</w:t>
            </w:r>
          </w:p>
        </w:tc>
        <w:tc>
          <w:tcPr>
            <w:tcW w:w="1236" w:type="dxa"/>
            <w:vAlign w:val="bottom"/>
          </w:tcPr>
          <w:p w:rsidR="00C268E7" w:rsidRPr="00B37F23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1134" w:type="dxa"/>
            <w:vAlign w:val="bottom"/>
          </w:tcPr>
          <w:p w:rsidR="00C268E7" w:rsidRPr="00B37F23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C268E7" w:rsidRPr="00B37F23" w:rsidRDefault="00C268E7" w:rsidP="001D1F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>!</w:t>
            </w:r>
          </w:p>
        </w:tc>
        <w:tc>
          <w:tcPr>
            <w:tcW w:w="1134" w:type="dxa"/>
            <w:vAlign w:val="bottom"/>
          </w:tcPr>
          <w:p w:rsidR="00C268E7" w:rsidRPr="00B37F23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851" w:type="dxa"/>
            <w:vAlign w:val="bottom"/>
          </w:tcPr>
          <w:p w:rsidR="00C268E7" w:rsidRPr="00B37F23" w:rsidRDefault="00C268E7" w:rsidP="001D1F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>-20.0</w:t>
            </w:r>
          </w:p>
        </w:tc>
      </w:tr>
      <w:tr w:rsidR="00C268E7" w:rsidRPr="00B37F23" w:rsidTr="001D1F6F">
        <w:trPr>
          <w:gridBefore w:val="1"/>
          <w:wBefore w:w="15" w:type="dxa"/>
          <w:trHeight w:val="255"/>
        </w:trPr>
        <w:tc>
          <w:tcPr>
            <w:tcW w:w="4860" w:type="dxa"/>
            <w:vAlign w:val="bottom"/>
          </w:tcPr>
          <w:p w:rsidR="00C268E7" w:rsidRPr="00B37F23" w:rsidRDefault="00C268E7" w:rsidP="001D1F6F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- международни линии</w:t>
            </w:r>
          </w:p>
        </w:tc>
        <w:tc>
          <w:tcPr>
            <w:tcW w:w="1236" w:type="dxa"/>
            <w:vAlign w:val="bottom"/>
          </w:tcPr>
          <w:p w:rsidR="00C268E7" w:rsidRPr="00B37F23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6,556</w:t>
            </w:r>
          </w:p>
        </w:tc>
        <w:tc>
          <w:tcPr>
            <w:tcW w:w="1134" w:type="dxa"/>
            <w:vAlign w:val="bottom"/>
          </w:tcPr>
          <w:p w:rsidR="00C268E7" w:rsidRPr="00B37F23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6,465</w:t>
            </w:r>
          </w:p>
        </w:tc>
        <w:tc>
          <w:tcPr>
            <w:tcW w:w="708" w:type="dxa"/>
            <w:vAlign w:val="bottom"/>
          </w:tcPr>
          <w:p w:rsidR="00C268E7" w:rsidRPr="00B37F23" w:rsidRDefault="00C268E7" w:rsidP="001D1F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134" w:type="dxa"/>
            <w:vAlign w:val="bottom"/>
          </w:tcPr>
          <w:p w:rsidR="00C268E7" w:rsidRPr="00B37F23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6,223</w:t>
            </w:r>
          </w:p>
        </w:tc>
        <w:tc>
          <w:tcPr>
            <w:tcW w:w="851" w:type="dxa"/>
            <w:vAlign w:val="bottom"/>
          </w:tcPr>
          <w:p w:rsidR="00C268E7" w:rsidRPr="00B37F23" w:rsidRDefault="00C268E7" w:rsidP="001D1F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>5.4</w:t>
            </w:r>
          </w:p>
        </w:tc>
      </w:tr>
      <w:tr w:rsidR="00C268E7" w:rsidRPr="00B37F23" w:rsidTr="001D1F6F">
        <w:trPr>
          <w:gridBefore w:val="1"/>
          <w:wBefore w:w="15" w:type="dxa"/>
          <w:trHeight w:val="255"/>
        </w:trPr>
        <w:tc>
          <w:tcPr>
            <w:tcW w:w="4860" w:type="dxa"/>
            <w:vAlign w:val="bottom"/>
          </w:tcPr>
          <w:p w:rsidR="00C268E7" w:rsidRPr="00B37F23" w:rsidRDefault="00C268E7" w:rsidP="001D1F6F">
            <w:pPr>
              <w:spacing w:line="240" w:lineRule="atLeast"/>
              <w:jc w:val="both"/>
              <w:rPr>
                <w:b/>
                <w:bCs/>
                <w:sz w:val="22"/>
                <w:szCs w:val="22"/>
              </w:rPr>
            </w:pPr>
            <w:r w:rsidRPr="00B37F23">
              <w:rPr>
                <w:b/>
                <w:bCs/>
                <w:sz w:val="22"/>
                <w:szCs w:val="22"/>
              </w:rPr>
              <w:t>3.Обслужени пътници – общо (бр.)        излетели и кацнали</w:t>
            </w:r>
          </w:p>
        </w:tc>
        <w:tc>
          <w:tcPr>
            <w:tcW w:w="1236" w:type="dxa"/>
            <w:vAlign w:val="bottom"/>
          </w:tcPr>
          <w:p w:rsidR="00C268E7" w:rsidRPr="00B37F23" w:rsidRDefault="00C268E7" w:rsidP="001D1F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>3,125,625</w:t>
            </w:r>
          </w:p>
        </w:tc>
        <w:tc>
          <w:tcPr>
            <w:tcW w:w="1134" w:type="dxa"/>
            <w:vAlign w:val="bottom"/>
          </w:tcPr>
          <w:p w:rsidR="00C268E7" w:rsidRPr="00B37F23" w:rsidRDefault="00C268E7" w:rsidP="001D1F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>3,055,790</w:t>
            </w:r>
          </w:p>
        </w:tc>
        <w:tc>
          <w:tcPr>
            <w:tcW w:w="708" w:type="dxa"/>
            <w:vAlign w:val="bottom"/>
          </w:tcPr>
          <w:p w:rsidR="00C268E7" w:rsidRPr="00B37F23" w:rsidRDefault="00C268E7" w:rsidP="001D1F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>2.3</w:t>
            </w:r>
          </w:p>
        </w:tc>
        <w:tc>
          <w:tcPr>
            <w:tcW w:w="1134" w:type="dxa"/>
            <w:vAlign w:val="bottom"/>
          </w:tcPr>
          <w:p w:rsidR="00C268E7" w:rsidRPr="00B37F23" w:rsidRDefault="00C268E7" w:rsidP="001D1F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>2,939,747</w:t>
            </w:r>
          </w:p>
        </w:tc>
        <w:tc>
          <w:tcPr>
            <w:tcW w:w="851" w:type="dxa"/>
            <w:vAlign w:val="bottom"/>
          </w:tcPr>
          <w:p w:rsidR="00C268E7" w:rsidRPr="00B37F23" w:rsidRDefault="00C268E7" w:rsidP="001D1F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>6.3</w:t>
            </w:r>
          </w:p>
        </w:tc>
      </w:tr>
      <w:tr w:rsidR="00C268E7" w:rsidRPr="00B37F23" w:rsidTr="001D1F6F">
        <w:trPr>
          <w:gridBefore w:val="1"/>
          <w:wBefore w:w="15" w:type="dxa"/>
          <w:trHeight w:val="331"/>
        </w:trPr>
        <w:tc>
          <w:tcPr>
            <w:tcW w:w="4860" w:type="dxa"/>
            <w:vAlign w:val="bottom"/>
          </w:tcPr>
          <w:p w:rsidR="00C268E7" w:rsidRPr="00B37F23" w:rsidRDefault="00C268E7" w:rsidP="001D1F6F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- вътрешни линии</w:t>
            </w:r>
          </w:p>
        </w:tc>
        <w:tc>
          <w:tcPr>
            <w:tcW w:w="1236" w:type="dxa"/>
            <w:vAlign w:val="bottom"/>
          </w:tcPr>
          <w:p w:rsidR="00C268E7" w:rsidRPr="00B37F23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127,333</w:t>
            </w:r>
          </w:p>
        </w:tc>
        <w:tc>
          <w:tcPr>
            <w:tcW w:w="1134" w:type="dxa"/>
            <w:vAlign w:val="bottom"/>
          </w:tcPr>
          <w:p w:rsidR="00C268E7" w:rsidRPr="00B37F23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137,129</w:t>
            </w:r>
          </w:p>
        </w:tc>
        <w:tc>
          <w:tcPr>
            <w:tcW w:w="708" w:type="dxa"/>
            <w:vAlign w:val="bottom"/>
          </w:tcPr>
          <w:p w:rsidR="00C268E7" w:rsidRPr="00B37F23" w:rsidRDefault="00C268E7" w:rsidP="001D1F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>-7.1</w:t>
            </w:r>
          </w:p>
        </w:tc>
        <w:tc>
          <w:tcPr>
            <w:tcW w:w="1134" w:type="dxa"/>
            <w:vAlign w:val="bottom"/>
          </w:tcPr>
          <w:p w:rsidR="00C268E7" w:rsidRPr="00B37F23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132,157</w:t>
            </w:r>
          </w:p>
        </w:tc>
        <w:tc>
          <w:tcPr>
            <w:tcW w:w="851" w:type="dxa"/>
            <w:vAlign w:val="bottom"/>
          </w:tcPr>
          <w:p w:rsidR="00C268E7" w:rsidRPr="00B37F23" w:rsidRDefault="00C268E7" w:rsidP="001D1F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>-3.7</w:t>
            </w:r>
          </w:p>
        </w:tc>
      </w:tr>
      <w:tr w:rsidR="00C268E7" w:rsidRPr="00B37F23" w:rsidTr="001D1F6F">
        <w:trPr>
          <w:gridBefore w:val="1"/>
          <w:wBefore w:w="15" w:type="dxa"/>
          <w:trHeight w:val="255"/>
        </w:trPr>
        <w:tc>
          <w:tcPr>
            <w:tcW w:w="4860" w:type="dxa"/>
            <w:vAlign w:val="bottom"/>
          </w:tcPr>
          <w:p w:rsidR="00C268E7" w:rsidRPr="00B37F23" w:rsidRDefault="00C268E7" w:rsidP="001D1F6F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37F23">
              <w:rPr>
                <w:sz w:val="22"/>
                <w:szCs w:val="22"/>
              </w:rPr>
              <w:t>- международни линии</w:t>
            </w:r>
          </w:p>
        </w:tc>
        <w:tc>
          <w:tcPr>
            <w:tcW w:w="1236" w:type="dxa"/>
            <w:vAlign w:val="bottom"/>
          </w:tcPr>
          <w:p w:rsidR="00C268E7" w:rsidRPr="00B37F23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2,998,292</w:t>
            </w:r>
          </w:p>
        </w:tc>
        <w:tc>
          <w:tcPr>
            <w:tcW w:w="1134" w:type="dxa"/>
            <w:vAlign w:val="bottom"/>
          </w:tcPr>
          <w:p w:rsidR="00C268E7" w:rsidRPr="00B37F23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2,918,661</w:t>
            </w:r>
          </w:p>
        </w:tc>
        <w:tc>
          <w:tcPr>
            <w:tcW w:w="708" w:type="dxa"/>
            <w:vAlign w:val="bottom"/>
          </w:tcPr>
          <w:p w:rsidR="00C268E7" w:rsidRPr="00B37F23" w:rsidRDefault="00C268E7" w:rsidP="001D1F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>2.7</w:t>
            </w:r>
          </w:p>
        </w:tc>
        <w:tc>
          <w:tcPr>
            <w:tcW w:w="1134" w:type="dxa"/>
            <w:vAlign w:val="bottom"/>
          </w:tcPr>
          <w:p w:rsidR="00C268E7" w:rsidRPr="00B37F23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2,807,590</w:t>
            </w:r>
          </w:p>
        </w:tc>
        <w:tc>
          <w:tcPr>
            <w:tcW w:w="851" w:type="dxa"/>
            <w:vAlign w:val="bottom"/>
          </w:tcPr>
          <w:p w:rsidR="00C268E7" w:rsidRPr="00B37F23" w:rsidRDefault="00C268E7" w:rsidP="001D1F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>6.8</w:t>
            </w:r>
          </w:p>
        </w:tc>
      </w:tr>
      <w:tr w:rsidR="00C268E7" w:rsidRPr="00B37F23" w:rsidTr="001D1F6F">
        <w:trPr>
          <w:gridBefore w:val="1"/>
          <w:wBefore w:w="15" w:type="dxa"/>
          <w:trHeight w:val="255"/>
        </w:trPr>
        <w:tc>
          <w:tcPr>
            <w:tcW w:w="4860" w:type="dxa"/>
            <w:vAlign w:val="bottom"/>
          </w:tcPr>
          <w:p w:rsidR="00C268E7" w:rsidRPr="00B37F23" w:rsidRDefault="00C268E7" w:rsidP="001D1F6F">
            <w:pPr>
              <w:spacing w:line="240" w:lineRule="atLeast"/>
              <w:jc w:val="both"/>
              <w:rPr>
                <w:b/>
                <w:bCs/>
                <w:sz w:val="22"/>
                <w:szCs w:val="22"/>
              </w:rPr>
            </w:pPr>
            <w:r w:rsidRPr="00B37F23">
              <w:rPr>
                <w:b/>
                <w:bCs/>
                <w:sz w:val="22"/>
                <w:szCs w:val="22"/>
              </w:rPr>
              <w:t>4. Натоварени и разтоварени товари и поща - тона</w:t>
            </w:r>
          </w:p>
        </w:tc>
        <w:tc>
          <w:tcPr>
            <w:tcW w:w="1236" w:type="dxa"/>
            <w:vAlign w:val="bottom"/>
          </w:tcPr>
          <w:p w:rsidR="00C268E7" w:rsidRPr="00B37F23" w:rsidRDefault="00C268E7" w:rsidP="001D1F6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B37F23">
              <w:rPr>
                <w:color w:val="000000"/>
                <w:sz w:val="22"/>
                <w:szCs w:val="22"/>
              </w:rPr>
              <w:t>13,40</w:t>
            </w:r>
            <w:r w:rsidRPr="00B37F23">
              <w:rPr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134" w:type="dxa"/>
            <w:vAlign w:val="bottom"/>
          </w:tcPr>
          <w:p w:rsidR="00C268E7" w:rsidRPr="00B37F23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13,021</w:t>
            </w:r>
          </w:p>
        </w:tc>
        <w:tc>
          <w:tcPr>
            <w:tcW w:w="708" w:type="dxa"/>
            <w:vAlign w:val="bottom"/>
          </w:tcPr>
          <w:p w:rsidR="00C268E7" w:rsidRPr="00B37F23" w:rsidRDefault="00C268E7" w:rsidP="001D1F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>3.0</w:t>
            </w:r>
          </w:p>
        </w:tc>
        <w:tc>
          <w:tcPr>
            <w:tcW w:w="1134" w:type="dxa"/>
            <w:vAlign w:val="bottom"/>
          </w:tcPr>
          <w:p w:rsidR="00C268E7" w:rsidRPr="00B37F23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12,468</w:t>
            </w:r>
          </w:p>
        </w:tc>
        <w:tc>
          <w:tcPr>
            <w:tcW w:w="851" w:type="dxa"/>
            <w:vAlign w:val="bottom"/>
          </w:tcPr>
          <w:p w:rsidR="00C268E7" w:rsidRPr="00B37F23" w:rsidRDefault="00C268E7" w:rsidP="001D1F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>7.5</w:t>
            </w:r>
          </w:p>
        </w:tc>
      </w:tr>
      <w:tr w:rsidR="00C268E7" w:rsidRPr="00B37F23" w:rsidTr="001D1F6F">
        <w:trPr>
          <w:gridBefore w:val="1"/>
          <w:wBefore w:w="15" w:type="dxa"/>
          <w:trHeight w:val="395"/>
        </w:trPr>
        <w:tc>
          <w:tcPr>
            <w:tcW w:w="4860" w:type="dxa"/>
            <w:vAlign w:val="bottom"/>
          </w:tcPr>
          <w:p w:rsidR="00C268E7" w:rsidRPr="00B37F23" w:rsidRDefault="00C268E7" w:rsidP="001D1F6F">
            <w:pPr>
              <w:spacing w:line="240" w:lineRule="atLeast"/>
              <w:jc w:val="both"/>
              <w:rPr>
                <w:b/>
                <w:bCs/>
                <w:sz w:val="22"/>
                <w:szCs w:val="22"/>
              </w:rPr>
            </w:pPr>
            <w:r w:rsidRPr="00B37F23">
              <w:rPr>
                <w:b/>
                <w:bCs/>
                <w:sz w:val="22"/>
                <w:szCs w:val="22"/>
              </w:rPr>
              <w:t>5. Обработени  товари от карго “Летище София”</w:t>
            </w:r>
          </w:p>
        </w:tc>
        <w:tc>
          <w:tcPr>
            <w:tcW w:w="1236" w:type="dxa"/>
            <w:vAlign w:val="bottom"/>
          </w:tcPr>
          <w:p w:rsidR="00C268E7" w:rsidRPr="00B37F23" w:rsidRDefault="00C268E7" w:rsidP="001D1F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>4,445</w:t>
            </w:r>
          </w:p>
        </w:tc>
        <w:tc>
          <w:tcPr>
            <w:tcW w:w="1134" w:type="dxa"/>
            <w:vAlign w:val="bottom"/>
          </w:tcPr>
          <w:p w:rsidR="00C268E7" w:rsidRPr="00B37F23" w:rsidRDefault="00C268E7" w:rsidP="001D1F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>4,057</w:t>
            </w:r>
          </w:p>
        </w:tc>
        <w:tc>
          <w:tcPr>
            <w:tcW w:w="708" w:type="dxa"/>
            <w:vAlign w:val="bottom"/>
          </w:tcPr>
          <w:p w:rsidR="00C268E7" w:rsidRPr="00B37F23" w:rsidRDefault="00C268E7" w:rsidP="001D1F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>9.6</w:t>
            </w:r>
          </w:p>
        </w:tc>
        <w:tc>
          <w:tcPr>
            <w:tcW w:w="1134" w:type="dxa"/>
            <w:vAlign w:val="bottom"/>
          </w:tcPr>
          <w:p w:rsidR="00C268E7" w:rsidRPr="00B37F23" w:rsidRDefault="00C268E7" w:rsidP="001D1F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>3,877</w:t>
            </w:r>
          </w:p>
        </w:tc>
        <w:tc>
          <w:tcPr>
            <w:tcW w:w="851" w:type="dxa"/>
            <w:vAlign w:val="bottom"/>
          </w:tcPr>
          <w:p w:rsidR="00C268E7" w:rsidRPr="00B37F23" w:rsidRDefault="00C268E7" w:rsidP="001D1F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>14.7</w:t>
            </w:r>
          </w:p>
        </w:tc>
      </w:tr>
      <w:tr w:rsidR="00C268E7" w:rsidRPr="00B37F23" w:rsidTr="001D1F6F">
        <w:trPr>
          <w:gridBefore w:val="1"/>
          <w:wBefore w:w="15" w:type="dxa"/>
          <w:trHeight w:val="305"/>
        </w:trPr>
        <w:tc>
          <w:tcPr>
            <w:tcW w:w="4860" w:type="dxa"/>
            <w:vAlign w:val="bottom"/>
          </w:tcPr>
          <w:p w:rsidR="00C268E7" w:rsidRPr="00B37F23" w:rsidRDefault="00C268E7" w:rsidP="001D1F6F">
            <w:pPr>
              <w:spacing w:line="240" w:lineRule="atLeast"/>
              <w:jc w:val="both"/>
              <w:rPr>
                <w:b/>
                <w:bCs/>
                <w:sz w:val="22"/>
                <w:szCs w:val="22"/>
              </w:rPr>
            </w:pPr>
            <w:r w:rsidRPr="00B37F23">
              <w:rPr>
                <w:b/>
                <w:bCs/>
                <w:sz w:val="22"/>
                <w:szCs w:val="22"/>
              </w:rPr>
              <w:t>6.Продажби авиационно гориво  -тон</w:t>
            </w:r>
          </w:p>
        </w:tc>
        <w:tc>
          <w:tcPr>
            <w:tcW w:w="1236" w:type="dxa"/>
            <w:vAlign w:val="bottom"/>
          </w:tcPr>
          <w:p w:rsidR="00C268E7" w:rsidRPr="00B37F23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70,745</w:t>
            </w:r>
          </w:p>
        </w:tc>
        <w:tc>
          <w:tcPr>
            <w:tcW w:w="1134" w:type="dxa"/>
            <w:vAlign w:val="bottom"/>
          </w:tcPr>
          <w:p w:rsidR="00C268E7" w:rsidRPr="00B37F23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64,711</w:t>
            </w:r>
          </w:p>
        </w:tc>
        <w:tc>
          <w:tcPr>
            <w:tcW w:w="708" w:type="dxa"/>
            <w:vAlign w:val="bottom"/>
          </w:tcPr>
          <w:p w:rsidR="00C268E7" w:rsidRPr="00B37F23" w:rsidRDefault="00C268E7" w:rsidP="001D1F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>9.3</w:t>
            </w:r>
          </w:p>
        </w:tc>
        <w:tc>
          <w:tcPr>
            <w:tcW w:w="1134" w:type="dxa"/>
            <w:vAlign w:val="bottom"/>
          </w:tcPr>
          <w:p w:rsidR="00C268E7" w:rsidRPr="00B37F23" w:rsidRDefault="00C268E7" w:rsidP="001D1F6F">
            <w:pPr>
              <w:jc w:val="right"/>
              <w:rPr>
                <w:color w:val="000000"/>
                <w:sz w:val="22"/>
                <w:szCs w:val="22"/>
              </w:rPr>
            </w:pPr>
            <w:r w:rsidRPr="00B37F23">
              <w:rPr>
                <w:color w:val="000000"/>
                <w:sz w:val="22"/>
                <w:szCs w:val="22"/>
              </w:rPr>
              <w:t>63,540</w:t>
            </w:r>
          </w:p>
        </w:tc>
        <w:tc>
          <w:tcPr>
            <w:tcW w:w="851" w:type="dxa"/>
            <w:vAlign w:val="bottom"/>
          </w:tcPr>
          <w:p w:rsidR="00C268E7" w:rsidRPr="00B37F23" w:rsidRDefault="00C268E7" w:rsidP="001D1F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7F23">
              <w:rPr>
                <w:b/>
                <w:bCs/>
                <w:color w:val="000000"/>
                <w:sz w:val="22"/>
                <w:szCs w:val="22"/>
              </w:rPr>
              <w:t>11.3</w:t>
            </w:r>
          </w:p>
        </w:tc>
      </w:tr>
    </w:tbl>
    <w:p w:rsidR="00C268E7" w:rsidRPr="00B37F23" w:rsidRDefault="00C268E7" w:rsidP="00B37F23">
      <w:pPr>
        <w:jc w:val="both"/>
        <w:rPr>
          <w:sz w:val="22"/>
          <w:szCs w:val="22"/>
          <w:lang w:val="bg-BG"/>
        </w:rPr>
      </w:pPr>
    </w:p>
    <w:p w:rsidR="00C268E7" w:rsidRPr="00B37F23" w:rsidRDefault="00C268E7" w:rsidP="00B37F23">
      <w:pPr>
        <w:shd w:val="clear" w:color="auto" w:fill="FFFFFF"/>
        <w:spacing w:line="240" w:lineRule="atLeast"/>
        <w:ind w:firstLine="709"/>
        <w:jc w:val="both"/>
        <w:rPr>
          <w:b/>
          <w:i/>
          <w:sz w:val="24"/>
          <w:szCs w:val="24"/>
          <w:u w:val="single"/>
          <w:lang w:val="bg-BG"/>
        </w:rPr>
      </w:pPr>
      <w:r w:rsidRPr="00B37F23">
        <w:rPr>
          <w:b/>
          <w:i/>
          <w:sz w:val="24"/>
          <w:szCs w:val="24"/>
          <w:u w:val="single"/>
        </w:rPr>
        <w:t>II.</w:t>
      </w:r>
      <w:r w:rsidRPr="00B37F23">
        <w:rPr>
          <w:b/>
          <w:i/>
          <w:sz w:val="24"/>
          <w:szCs w:val="24"/>
          <w:u w:val="single"/>
          <w:lang w:val="bg-BG"/>
        </w:rPr>
        <w:t>1. Натурални показатели за летищния оперотор</w:t>
      </w:r>
    </w:p>
    <w:p w:rsidR="00C268E7" w:rsidRPr="00B37F23" w:rsidRDefault="00C268E7" w:rsidP="00B37F23">
      <w:pPr>
        <w:spacing w:line="240" w:lineRule="atLeast"/>
        <w:ind w:firstLine="709"/>
        <w:jc w:val="both"/>
        <w:rPr>
          <w:sz w:val="24"/>
          <w:szCs w:val="24"/>
          <w:lang w:val="bg-BG"/>
        </w:rPr>
      </w:pPr>
      <w:r w:rsidRPr="00B37F23">
        <w:rPr>
          <w:b/>
          <w:sz w:val="24"/>
          <w:szCs w:val="24"/>
          <w:lang w:val="bg-BG"/>
        </w:rPr>
        <w:t>1.1. Самолетодвижения</w:t>
      </w:r>
    </w:p>
    <w:p w:rsidR="00C268E7" w:rsidRPr="00B37F23" w:rsidRDefault="00C268E7" w:rsidP="00B37F23">
      <w:pPr>
        <w:ind w:firstLine="708"/>
        <w:jc w:val="both"/>
        <w:rPr>
          <w:sz w:val="24"/>
          <w:szCs w:val="24"/>
        </w:rPr>
      </w:pPr>
      <w:r w:rsidRPr="00B37F23">
        <w:rPr>
          <w:sz w:val="24"/>
          <w:szCs w:val="24"/>
          <w:lang w:val="bg-BG" w:eastAsia="en-GB"/>
        </w:rPr>
        <w:t> </w:t>
      </w:r>
      <w:r w:rsidRPr="00B37F23">
        <w:rPr>
          <w:sz w:val="24"/>
          <w:szCs w:val="24"/>
        </w:rPr>
        <w:t xml:space="preserve">За периода януари - септември 2015 г. общо </w:t>
      </w:r>
      <w:r w:rsidRPr="00B37F23">
        <w:rPr>
          <w:b/>
          <w:sz w:val="24"/>
          <w:szCs w:val="24"/>
        </w:rPr>
        <w:t xml:space="preserve">33 767 </w:t>
      </w:r>
      <w:r w:rsidRPr="00B37F23">
        <w:rPr>
          <w:sz w:val="24"/>
          <w:szCs w:val="24"/>
        </w:rPr>
        <w:t xml:space="preserve">самолети </w:t>
      </w:r>
      <w:r w:rsidRPr="00B37F23">
        <w:rPr>
          <w:b/>
          <w:sz w:val="24"/>
          <w:szCs w:val="24"/>
        </w:rPr>
        <w:t>(+5,3%)</w:t>
      </w:r>
      <w:r w:rsidRPr="00B37F23">
        <w:rPr>
          <w:sz w:val="24"/>
          <w:szCs w:val="24"/>
        </w:rPr>
        <w:t xml:space="preserve"> са излетели и кацнали на столичното летище.</w:t>
      </w:r>
    </w:p>
    <w:p w:rsidR="00C268E7" w:rsidRPr="00B37F23" w:rsidRDefault="00C268E7" w:rsidP="00B37F23">
      <w:pPr>
        <w:ind w:firstLine="708"/>
        <w:jc w:val="both"/>
        <w:rPr>
          <w:sz w:val="24"/>
          <w:szCs w:val="24"/>
        </w:rPr>
      </w:pPr>
      <w:r w:rsidRPr="00B37F23">
        <w:rPr>
          <w:sz w:val="24"/>
          <w:szCs w:val="24"/>
        </w:rPr>
        <w:t xml:space="preserve">Полетите по редовни международни линии са с 1 247 повече спрямо броя на извършените самолетодвижения през деветте месеце на 2014 г. По вътрешни линии се запазва миналогодишното ниво. </w:t>
      </w:r>
    </w:p>
    <w:p w:rsidR="00C268E7" w:rsidRPr="00B37F23" w:rsidRDefault="00C268E7" w:rsidP="00B37F23">
      <w:pPr>
        <w:ind w:firstLine="708"/>
        <w:jc w:val="both"/>
        <w:rPr>
          <w:sz w:val="24"/>
          <w:szCs w:val="24"/>
          <w:lang w:val="bg-BG"/>
        </w:rPr>
      </w:pPr>
      <w:r w:rsidRPr="00B37F23">
        <w:rPr>
          <w:sz w:val="24"/>
          <w:szCs w:val="24"/>
        </w:rPr>
        <w:t xml:space="preserve">С 20% се е увеличил броят на извършените самолетодвижения в сегмента на бизнес авиацията. </w:t>
      </w:r>
    </w:p>
    <w:p w:rsidR="00C268E7" w:rsidRPr="00B37F23" w:rsidRDefault="00C268E7" w:rsidP="00B37F23">
      <w:pPr>
        <w:ind w:firstLine="708"/>
        <w:jc w:val="both"/>
        <w:rPr>
          <w:sz w:val="24"/>
          <w:szCs w:val="24"/>
          <w:lang w:val="bg-BG"/>
        </w:rPr>
      </w:pPr>
    </w:p>
    <w:p w:rsidR="00C268E7" w:rsidRPr="00B37F23" w:rsidRDefault="00C268E7" w:rsidP="00B37F23">
      <w:pPr>
        <w:spacing w:before="60" w:after="60" w:line="240" w:lineRule="atLeast"/>
        <w:jc w:val="both"/>
        <w:rPr>
          <w:color w:val="000000"/>
          <w:sz w:val="24"/>
          <w:szCs w:val="24"/>
          <w:lang w:val="bg-BG"/>
        </w:rPr>
      </w:pPr>
      <w:r w:rsidRPr="00B37F23">
        <w:rPr>
          <w:sz w:val="24"/>
          <w:szCs w:val="24"/>
        </w:rPr>
        <w:tab/>
      </w:r>
      <w:r w:rsidRPr="00B37F23">
        <w:rPr>
          <w:b/>
          <w:color w:val="000000"/>
          <w:sz w:val="24"/>
          <w:szCs w:val="24"/>
          <w:lang w:val="bg-BG"/>
        </w:rPr>
        <w:t>1.2.</w:t>
      </w:r>
      <w:r w:rsidRPr="00B37F23">
        <w:rPr>
          <w:color w:val="000000"/>
          <w:sz w:val="24"/>
          <w:szCs w:val="24"/>
          <w:lang w:val="bg-BG"/>
        </w:rPr>
        <w:t xml:space="preserve"> </w:t>
      </w:r>
      <w:r w:rsidRPr="00B37F23">
        <w:rPr>
          <w:b/>
          <w:color w:val="000000"/>
          <w:sz w:val="24"/>
          <w:szCs w:val="24"/>
          <w:lang w:val="bg-BG"/>
        </w:rPr>
        <w:t>Пътници</w:t>
      </w:r>
      <w:r w:rsidRPr="00B37F23">
        <w:rPr>
          <w:b/>
          <w:color w:val="000000"/>
          <w:sz w:val="24"/>
          <w:szCs w:val="24"/>
          <w:lang w:val="bg-BG"/>
        </w:rPr>
        <w:tab/>
      </w:r>
    </w:p>
    <w:p w:rsidR="00C268E7" w:rsidRPr="00B37F23" w:rsidRDefault="00C268E7" w:rsidP="00B37F23">
      <w:pPr>
        <w:ind w:firstLine="708"/>
        <w:jc w:val="both"/>
        <w:rPr>
          <w:sz w:val="24"/>
          <w:szCs w:val="24"/>
          <w:lang w:val="ru-RU"/>
        </w:rPr>
      </w:pPr>
      <w:r w:rsidRPr="00B37F23">
        <w:rPr>
          <w:color w:val="000000"/>
          <w:sz w:val="24"/>
          <w:szCs w:val="24"/>
        </w:rPr>
        <w:tab/>
      </w:r>
      <w:r w:rsidRPr="00B37F23">
        <w:rPr>
          <w:sz w:val="24"/>
          <w:szCs w:val="24"/>
        </w:rPr>
        <w:t xml:space="preserve">За деветте месеца на </w:t>
      </w:r>
      <w:r w:rsidRPr="00B37F23">
        <w:rPr>
          <w:sz w:val="24"/>
          <w:szCs w:val="24"/>
          <w:lang w:val="ru-RU"/>
        </w:rPr>
        <w:t>201</w:t>
      </w:r>
      <w:r w:rsidRPr="00B37F23">
        <w:rPr>
          <w:sz w:val="24"/>
          <w:szCs w:val="24"/>
        </w:rPr>
        <w:t>5</w:t>
      </w:r>
      <w:r w:rsidRPr="00B37F23">
        <w:rPr>
          <w:sz w:val="24"/>
          <w:szCs w:val="24"/>
          <w:lang w:val="ru-RU"/>
        </w:rPr>
        <w:t xml:space="preserve"> </w:t>
      </w:r>
      <w:r w:rsidRPr="00B37F23">
        <w:rPr>
          <w:sz w:val="24"/>
          <w:szCs w:val="24"/>
        </w:rPr>
        <w:t xml:space="preserve">г. на Летище София са обслужени общо </w:t>
      </w:r>
      <w:r w:rsidRPr="00B37F23">
        <w:rPr>
          <w:b/>
          <w:sz w:val="24"/>
          <w:szCs w:val="24"/>
        </w:rPr>
        <w:t>3 125 625</w:t>
      </w:r>
      <w:r w:rsidRPr="00B37F23">
        <w:rPr>
          <w:sz w:val="24"/>
          <w:szCs w:val="24"/>
        </w:rPr>
        <w:t xml:space="preserve"> пристигащи и заминаващи пътници - с </w:t>
      </w:r>
      <w:r w:rsidRPr="00B37F23">
        <w:rPr>
          <w:b/>
          <w:sz w:val="24"/>
          <w:szCs w:val="24"/>
          <w:lang w:val="ru-RU"/>
        </w:rPr>
        <w:t>6</w:t>
      </w:r>
      <w:r w:rsidRPr="00B37F23">
        <w:rPr>
          <w:b/>
          <w:sz w:val="24"/>
          <w:szCs w:val="24"/>
        </w:rPr>
        <w:t>.3</w:t>
      </w:r>
      <w:r w:rsidRPr="00B37F23">
        <w:rPr>
          <w:b/>
          <w:sz w:val="24"/>
          <w:szCs w:val="24"/>
          <w:lang w:val="ru-RU"/>
        </w:rPr>
        <w:t xml:space="preserve"> %</w:t>
      </w:r>
      <w:r w:rsidRPr="00B37F23">
        <w:rPr>
          <w:sz w:val="24"/>
          <w:szCs w:val="24"/>
          <w:lang w:val="ru-RU"/>
        </w:rPr>
        <w:t xml:space="preserve"> </w:t>
      </w:r>
      <w:r w:rsidRPr="00B37F23">
        <w:rPr>
          <w:sz w:val="24"/>
          <w:szCs w:val="24"/>
        </w:rPr>
        <w:t xml:space="preserve">повече от предходната година. </w:t>
      </w:r>
    </w:p>
    <w:p w:rsidR="00C268E7" w:rsidRPr="00B37F23" w:rsidRDefault="00C268E7" w:rsidP="00B37F23">
      <w:pPr>
        <w:ind w:firstLine="708"/>
        <w:jc w:val="both"/>
        <w:rPr>
          <w:sz w:val="24"/>
          <w:szCs w:val="24"/>
        </w:rPr>
      </w:pPr>
      <w:r w:rsidRPr="00B37F23">
        <w:rPr>
          <w:sz w:val="24"/>
          <w:szCs w:val="24"/>
        </w:rPr>
        <w:t xml:space="preserve">С близо 180 хиляди са сe увеличили пътуващите по редовни международни линии. Този сегмент формира 92 на сто от цялостния летищен трафик. </w:t>
      </w:r>
    </w:p>
    <w:p w:rsidR="00C268E7" w:rsidRPr="00B37F23" w:rsidRDefault="00C268E7" w:rsidP="00B37F23">
      <w:pPr>
        <w:ind w:firstLine="708"/>
        <w:jc w:val="both"/>
        <w:rPr>
          <w:sz w:val="24"/>
          <w:szCs w:val="24"/>
        </w:rPr>
      </w:pPr>
      <w:r w:rsidRPr="00B37F23">
        <w:rPr>
          <w:sz w:val="24"/>
          <w:szCs w:val="24"/>
        </w:rPr>
        <w:t xml:space="preserve">За първите девет месеца на 2015 г. пътническият поток през Терминал 1 е нараснал с 16% спрямо миналата година. Това се дължи на 5-те нови линии до Мюнхен/Запад, Кьолн, Неапол, Женева и Бари. </w:t>
      </w:r>
    </w:p>
    <w:p w:rsidR="00C268E7" w:rsidRPr="00B37F23" w:rsidRDefault="00C268E7" w:rsidP="00B37F23">
      <w:pPr>
        <w:ind w:firstLine="708"/>
        <w:jc w:val="both"/>
        <w:rPr>
          <w:sz w:val="24"/>
          <w:szCs w:val="24"/>
        </w:rPr>
      </w:pPr>
      <w:r w:rsidRPr="00B37F23">
        <w:rPr>
          <w:sz w:val="24"/>
          <w:szCs w:val="24"/>
        </w:rPr>
        <w:t xml:space="preserve">Най-популярно направление отново е Лондон, за където са излетели повече от 222 хиляди пътници. Следващи в класацията са Виена със 125 хиляди пътници, Франкфурт със 116 хиляди, Мюнхен с 94 хиляди, Париж с повече от 72 хиляди, Истанбул и Рим  с над 60 хиляди пасажери. </w:t>
      </w:r>
    </w:p>
    <w:p w:rsidR="00C268E7" w:rsidRPr="00B37F23" w:rsidRDefault="00C268E7" w:rsidP="00B37F23">
      <w:pPr>
        <w:ind w:firstLine="708"/>
        <w:jc w:val="both"/>
        <w:rPr>
          <w:sz w:val="24"/>
          <w:szCs w:val="24"/>
          <w:lang w:val="bg-BG"/>
        </w:rPr>
      </w:pPr>
      <w:r w:rsidRPr="00B37F23">
        <w:rPr>
          <w:sz w:val="24"/>
          <w:szCs w:val="24"/>
        </w:rPr>
        <w:t xml:space="preserve">По вътрешни линии от Летище София са заминали близо 65 хиляди пътници </w:t>
      </w:r>
      <w:r w:rsidRPr="00B37F23">
        <w:rPr>
          <w:sz w:val="24"/>
          <w:szCs w:val="24"/>
          <w:lang w:val="bg-BG"/>
        </w:rPr>
        <w:t>или излетяли и кацнали общо 127 333 пътници.</w:t>
      </w:r>
    </w:p>
    <w:p w:rsidR="00C268E7" w:rsidRPr="00B37F23" w:rsidRDefault="00C268E7" w:rsidP="00B37F23">
      <w:pPr>
        <w:ind w:firstLine="708"/>
        <w:jc w:val="both"/>
        <w:rPr>
          <w:sz w:val="24"/>
          <w:szCs w:val="24"/>
        </w:rPr>
      </w:pPr>
      <w:r w:rsidRPr="00B37F23">
        <w:rPr>
          <w:sz w:val="24"/>
          <w:szCs w:val="24"/>
        </w:rPr>
        <w:t xml:space="preserve">При чартърните полети се забелязва известен спад (-3%), който продължава тенденцията от последните години. </w:t>
      </w:r>
    </w:p>
    <w:p w:rsidR="00C268E7" w:rsidRPr="00B37F23" w:rsidRDefault="00C268E7" w:rsidP="00B37F23">
      <w:pPr>
        <w:spacing w:before="60" w:after="60" w:line="240" w:lineRule="atLeast"/>
        <w:ind w:firstLine="709"/>
        <w:jc w:val="both"/>
        <w:rPr>
          <w:b/>
          <w:color w:val="000000"/>
          <w:sz w:val="24"/>
          <w:szCs w:val="24"/>
          <w:lang w:val="bg-BG"/>
        </w:rPr>
      </w:pPr>
    </w:p>
    <w:p w:rsidR="00C268E7" w:rsidRPr="00B37F23" w:rsidRDefault="00C268E7" w:rsidP="00B37F23">
      <w:pPr>
        <w:spacing w:before="60" w:after="60" w:line="240" w:lineRule="atLeast"/>
        <w:ind w:firstLine="709"/>
        <w:jc w:val="both"/>
        <w:rPr>
          <w:color w:val="000000"/>
          <w:sz w:val="24"/>
          <w:szCs w:val="24"/>
          <w:lang w:val="bg-BG"/>
        </w:rPr>
      </w:pPr>
      <w:r w:rsidRPr="00B37F23">
        <w:rPr>
          <w:b/>
          <w:color w:val="000000"/>
          <w:sz w:val="24"/>
          <w:szCs w:val="24"/>
          <w:lang w:val="bg-BG"/>
        </w:rPr>
        <w:t>1.3. Товари</w:t>
      </w:r>
    </w:p>
    <w:p w:rsidR="00C268E7" w:rsidRPr="00B37F23" w:rsidRDefault="00C268E7" w:rsidP="00B37F23">
      <w:pPr>
        <w:jc w:val="both"/>
        <w:rPr>
          <w:sz w:val="24"/>
          <w:szCs w:val="24"/>
        </w:rPr>
      </w:pPr>
      <w:r w:rsidRPr="00B37F23">
        <w:rPr>
          <w:color w:val="548DD4"/>
          <w:sz w:val="24"/>
          <w:szCs w:val="24"/>
        </w:rPr>
        <w:tab/>
      </w:r>
      <w:r w:rsidRPr="00B37F23">
        <w:rPr>
          <w:sz w:val="24"/>
          <w:szCs w:val="24"/>
        </w:rPr>
        <w:t xml:space="preserve">През деветте месеца на 2015 г. на Летище София са обработени общо </w:t>
      </w:r>
      <w:r w:rsidRPr="00B37F23">
        <w:rPr>
          <w:b/>
          <w:sz w:val="24"/>
          <w:szCs w:val="24"/>
        </w:rPr>
        <w:t>13 408</w:t>
      </w:r>
      <w:r w:rsidRPr="00B37F23">
        <w:rPr>
          <w:sz w:val="24"/>
          <w:szCs w:val="24"/>
        </w:rPr>
        <w:t xml:space="preserve"> тона карго със </w:t>
      </w:r>
      <w:r w:rsidRPr="00B37F23">
        <w:rPr>
          <w:sz w:val="24"/>
          <w:szCs w:val="24"/>
          <w:lang w:val="ru-RU"/>
        </w:rPr>
        <w:t>7</w:t>
      </w:r>
      <w:r w:rsidRPr="00B37F23">
        <w:rPr>
          <w:sz w:val="24"/>
          <w:szCs w:val="24"/>
        </w:rPr>
        <w:t>,5%</w:t>
      </w:r>
      <w:r w:rsidRPr="00B37F23">
        <w:rPr>
          <w:sz w:val="24"/>
          <w:szCs w:val="24"/>
          <w:lang w:val="ru-RU"/>
        </w:rPr>
        <w:t xml:space="preserve"> повече спрямо миналата година</w:t>
      </w:r>
      <w:r w:rsidRPr="00B37F23">
        <w:rPr>
          <w:sz w:val="24"/>
          <w:szCs w:val="24"/>
        </w:rPr>
        <w:t>. Товарните пратки превозени със специализирани карго самолети, съставляващи 57% от цялостния товарообмен през Летище София, са нараснали с 18% в сравнение с 2014 г.</w:t>
      </w:r>
    </w:p>
    <w:p w:rsidR="00C268E7" w:rsidRPr="00B37F23" w:rsidRDefault="00C268E7" w:rsidP="00B37F23">
      <w:pPr>
        <w:ind w:firstLine="708"/>
        <w:jc w:val="both"/>
        <w:rPr>
          <w:b/>
          <w:sz w:val="24"/>
          <w:szCs w:val="24"/>
          <w:lang w:val="bg-BG"/>
        </w:rPr>
      </w:pPr>
    </w:p>
    <w:p w:rsidR="00C268E7" w:rsidRPr="00B37F23" w:rsidRDefault="00C268E7" w:rsidP="00B37F23">
      <w:pPr>
        <w:ind w:firstLine="708"/>
        <w:jc w:val="both"/>
        <w:rPr>
          <w:b/>
          <w:sz w:val="24"/>
          <w:szCs w:val="24"/>
          <w:lang w:val="bg-BG"/>
        </w:rPr>
      </w:pPr>
      <w:r w:rsidRPr="00B37F23">
        <w:rPr>
          <w:b/>
          <w:sz w:val="24"/>
          <w:szCs w:val="24"/>
          <w:lang w:val="bg-BG"/>
        </w:rPr>
        <w:t>Месец Септември 2015 г.</w:t>
      </w:r>
    </w:p>
    <w:p w:rsidR="00C268E7" w:rsidRPr="00B37F23" w:rsidRDefault="00C268E7" w:rsidP="00B37F23">
      <w:pPr>
        <w:ind w:firstLine="708"/>
        <w:jc w:val="both"/>
        <w:rPr>
          <w:sz w:val="24"/>
          <w:szCs w:val="24"/>
        </w:rPr>
      </w:pPr>
      <w:r w:rsidRPr="00B37F23">
        <w:rPr>
          <w:sz w:val="24"/>
          <w:szCs w:val="24"/>
        </w:rPr>
        <w:t>През септември 2015 г. обслужените пътници на Летище София са повече от 400 хиляди, което представлява ръст от 11,3% спрямо месец септември на миналата година. Броят на кацналите и излетели самолети за периода е 4 144 спрямо 3 760 през същия месец на 2014 г. (</w:t>
      </w:r>
      <w:r w:rsidRPr="00B37F23">
        <w:rPr>
          <w:sz w:val="24"/>
          <w:szCs w:val="24"/>
          <w:lang w:val="bg-BG"/>
        </w:rPr>
        <w:t xml:space="preserve">ръст от </w:t>
      </w:r>
      <w:r w:rsidRPr="00B37F23">
        <w:rPr>
          <w:sz w:val="24"/>
          <w:szCs w:val="24"/>
        </w:rPr>
        <w:t>10,2%), а обработените товари и поща са 1 428 т</w:t>
      </w:r>
      <w:r w:rsidRPr="00B37F23">
        <w:rPr>
          <w:sz w:val="24"/>
          <w:szCs w:val="24"/>
          <w:lang w:val="ru-RU"/>
        </w:rPr>
        <w:t>.</w:t>
      </w:r>
      <w:r w:rsidRPr="00B37F23">
        <w:rPr>
          <w:sz w:val="24"/>
          <w:szCs w:val="24"/>
        </w:rPr>
        <w:t xml:space="preserve"> (</w:t>
      </w:r>
      <w:r w:rsidRPr="00B37F23">
        <w:rPr>
          <w:sz w:val="24"/>
          <w:szCs w:val="24"/>
          <w:lang w:val="bg-BG"/>
        </w:rPr>
        <w:t xml:space="preserve">ръст от </w:t>
      </w:r>
      <w:r w:rsidRPr="00B37F23">
        <w:rPr>
          <w:sz w:val="24"/>
          <w:szCs w:val="24"/>
        </w:rPr>
        <w:t>4,3 %).</w:t>
      </w:r>
    </w:p>
    <w:p w:rsidR="00C268E7" w:rsidRPr="00B37F23" w:rsidRDefault="00C268E7" w:rsidP="00B37F23">
      <w:pPr>
        <w:spacing w:before="60" w:after="60" w:line="240" w:lineRule="atLeast"/>
        <w:ind w:firstLine="720"/>
        <w:jc w:val="both"/>
        <w:rPr>
          <w:sz w:val="24"/>
          <w:szCs w:val="24"/>
          <w:lang w:val="bg-BG"/>
        </w:rPr>
      </w:pPr>
    </w:p>
    <w:p w:rsidR="00C268E7" w:rsidRPr="00B37F23" w:rsidRDefault="00C268E7" w:rsidP="00B37F23">
      <w:pPr>
        <w:spacing w:before="60" w:after="60" w:line="240" w:lineRule="atLeast"/>
        <w:ind w:firstLine="709"/>
        <w:jc w:val="both"/>
        <w:rPr>
          <w:b/>
          <w:i/>
          <w:sz w:val="24"/>
          <w:szCs w:val="24"/>
          <w:u w:val="single"/>
          <w:lang w:val="bg-BG"/>
        </w:rPr>
      </w:pPr>
      <w:r w:rsidRPr="00B37F23">
        <w:rPr>
          <w:b/>
          <w:i/>
          <w:sz w:val="24"/>
          <w:szCs w:val="24"/>
          <w:u w:val="single"/>
        </w:rPr>
        <w:t>II.</w:t>
      </w:r>
      <w:r w:rsidRPr="00B37F23">
        <w:rPr>
          <w:b/>
          <w:i/>
          <w:sz w:val="24"/>
          <w:szCs w:val="24"/>
          <w:u w:val="single"/>
          <w:lang w:val="bg-BG"/>
        </w:rPr>
        <w:t>2.Натурални показатели за търговското дружество</w:t>
      </w:r>
    </w:p>
    <w:p w:rsidR="00C268E7" w:rsidRPr="00B37F23" w:rsidRDefault="00C268E7" w:rsidP="00B37F23">
      <w:pPr>
        <w:spacing w:before="60" w:after="60" w:line="240" w:lineRule="atLeast"/>
        <w:ind w:firstLine="709"/>
        <w:jc w:val="both"/>
        <w:rPr>
          <w:sz w:val="24"/>
          <w:szCs w:val="24"/>
          <w:lang w:val="bg-BG"/>
        </w:rPr>
      </w:pPr>
      <w:r w:rsidRPr="00B37F23">
        <w:rPr>
          <w:sz w:val="24"/>
          <w:szCs w:val="24"/>
        </w:rPr>
        <w:t xml:space="preserve">За отчетния период дружеството отчита: </w:t>
      </w:r>
    </w:p>
    <w:p w:rsidR="00C268E7" w:rsidRPr="00B37F23" w:rsidRDefault="00C268E7" w:rsidP="00B37F23">
      <w:pPr>
        <w:spacing w:before="60" w:after="60" w:line="240" w:lineRule="atLeast"/>
        <w:jc w:val="both"/>
        <w:rPr>
          <w:sz w:val="24"/>
          <w:szCs w:val="24"/>
          <w:lang w:val="bg-BG"/>
        </w:rPr>
      </w:pPr>
      <w:r w:rsidRPr="00B37F23">
        <w:rPr>
          <w:color w:val="000000"/>
          <w:sz w:val="24"/>
          <w:szCs w:val="24"/>
          <w:lang w:val="bg-BG"/>
        </w:rPr>
        <w:tab/>
      </w:r>
      <w:r w:rsidRPr="00B37F23">
        <w:rPr>
          <w:b/>
          <w:color w:val="000000"/>
          <w:sz w:val="24"/>
          <w:szCs w:val="24"/>
          <w:lang w:val="bg-BG"/>
        </w:rPr>
        <w:t>2.1.</w:t>
      </w:r>
      <w:r w:rsidRPr="00B37F23">
        <w:rPr>
          <w:b/>
          <w:color w:val="000000"/>
          <w:sz w:val="24"/>
          <w:szCs w:val="24"/>
        </w:rPr>
        <w:t xml:space="preserve"> Обслужени самолети.</w:t>
      </w:r>
      <w:r w:rsidRPr="00B37F23">
        <w:rPr>
          <w:color w:val="000000"/>
          <w:sz w:val="24"/>
          <w:szCs w:val="24"/>
        </w:rPr>
        <w:t xml:space="preserve"> </w:t>
      </w:r>
      <w:r w:rsidRPr="00B37F23">
        <w:rPr>
          <w:color w:val="000000"/>
          <w:sz w:val="24"/>
          <w:szCs w:val="24"/>
          <w:lang w:val="bg-BG"/>
        </w:rPr>
        <w:t>И</w:t>
      </w:r>
      <w:r w:rsidRPr="00B37F23">
        <w:rPr>
          <w:bCs/>
          <w:color w:val="000000"/>
          <w:sz w:val="24"/>
          <w:szCs w:val="24"/>
        </w:rPr>
        <w:t xml:space="preserve">зпълнение на планирани наземно обслужени </w:t>
      </w:r>
      <w:r w:rsidRPr="00B37F23">
        <w:rPr>
          <w:bCs/>
          <w:color w:val="000000"/>
          <w:sz w:val="24"/>
          <w:szCs w:val="24"/>
          <w:lang w:val="bg-BG"/>
        </w:rPr>
        <w:t>самолета</w:t>
      </w:r>
      <w:r w:rsidRPr="00B37F23">
        <w:rPr>
          <w:bCs/>
          <w:color w:val="000000"/>
          <w:sz w:val="24"/>
          <w:szCs w:val="24"/>
        </w:rPr>
        <w:t xml:space="preserve"> с 339 самолета</w:t>
      </w:r>
      <w:r w:rsidRPr="00B37F23">
        <w:rPr>
          <w:bCs/>
          <w:color w:val="000000"/>
          <w:sz w:val="24"/>
          <w:szCs w:val="24"/>
          <w:lang w:val="bg-BG"/>
        </w:rPr>
        <w:t xml:space="preserve"> (ръст </w:t>
      </w:r>
      <w:r w:rsidRPr="00B37F23">
        <w:rPr>
          <w:bCs/>
          <w:color w:val="000000"/>
          <w:sz w:val="24"/>
          <w:szCs w:val="24"/>
        </w:rPr>
        <w:t>от 5.2</w:t>
      </w:r>
      <w:r w:rsidRPr="00B37F23">
        <w:rPr>
          <w:bCs/>
          <w:color w:val="000000"/>
          <w:sz w:val="24"/>
          <w:szCs w:val="24"/>
          <w:lang w:val="bg-BG"/>
        </w:rPr>
        <w:t xml:space="preserve"> </w:t>
      </w:r>
      <w:r w:rsidRPr="00B37F23">
        <w:rPr>
          <w:bCs/>
          <w:color w:val="000000"/>
          <w:sz w:val="24"/>
          <w:szCs w:val="24"/>
        </w:rPr>
        <w:t>%</w:t>
      </w:r>
      <w:r w:rsidRPr="00B37F23">
        <w:rPr>
          <w:bCs/>
          <w:color w:val="000000"/>
          <w:sz w:val="24"/>
          <w:szCs w:val="24"/>
          <w:lang w:val="bg-BG"/>
        </w:rPr>
        <w:t>)</w:t>
      </w:r>
      <w:r w:rsidRPr="00B37F23">
        <w:rPr>
          <w:bCs/>
          <w:color w:val="000000"/>
          <w:sz w:val="24"/>
          <w:szCs w:val="24"/>
        </w:rPr>
        <w:t xml:space="preserve"> и </w:t>
      </w:r>
      <w:r w:rsidRPr="00B37F23">
        <w:rPr>
          <w:bCs/>
          <w:color w:val="000000"/>
          <w:sz w:val="24"/>
          <w:szCs w:val="24"/>
          <w:lang w:val="bg-BG"/>
        </w:rPr>
        <w:t>увеличение</w:t>
      </w:r>
      <w:r w:rsidRPr="00B37F23">
        <w:rPr>
          <w:bCs/>
          <w:color w:val="000000"/>
          <w:sz w:val="24"/>
          <w:szCs w:val="24"/>
        </w:rPr>
        <w:t xml:space="preserve"> спрямо предходната година с 271 самолета </w:t>
      </w:r>
      <w:r w:rsidRPr="00B37F23">
        <w:rPr>
          <w:bCs/>
          <w:color w:val="000000"/>
          <w:sz w:val="24"/>
          <w:szCs w:val="24"/>
          <w:lang w:val="bg-BG"/>
        </w:rPr>
        <w:t xml:space="preserve">(ръст </w:t>
      </w:r>
      <w:r w:rsidRPr="00B37F23">
        <w:rPr>
          <w:bCs/>
          <w:color w:val="000000"/>
          <w:sz w:val="24"/>
          <w:szCs w:val="24"/>
        </w:rPr>
        <w:t>от 4.1 %</w:t>
      </w:r>
      <w:r w:rsidRPr="00B37F23">
        <w:rPr>
          <w:bCs/>
          <w:color w:val="000000"/>
          <w:sz w:val="24"/>
          <w:szCs w:val="24"/>
          <w:lang w:val="bg-BG"/>
        </w:rPr>
        <w:t>)</w:t>
      </w:r>
      <w:r w:rsidRPr="00B37F23">
        <w:rPr>
          <w:sz w:val="24"/>
          <w:szCs w:val="24"/>
          <w:lang w:val="bg-BG"/>
        </w:rPr>
        <w:t>.</w:t>
      </w:r>
    </w:p>
    <w:p w:rsidR="00C268E7" w:rsidRPr="00B37F23" w:rsidRDefault="00C268E7" w:rsidP="00B37F23">
      <w:pPr>
        <w:spacing w:before="60" w:after="60" w:line="240" w:lineRule="atLeast"/>
        <w:ind w:firstLine="720"/>
        <w:jc w:val="both"/>
        <w:rPr>
          <w:sz w:val="24"/>
          <w:szCs w:val="24"/>
          <w:lang w:val="bg-BG"/>
        </w:rPr>
      </w:pPr>
      <w:r w:rsidRPr="00B37F23">
        <w:rPr>
          <w:sz w:val="24"/>
          <w:szCs w:val="24"/>
          <w:lang w:val="bg-BG"/>
        </w:rPr>
        <w:t>Увеличението</w:t>
      </w:r>
      <w:r w:rsidRPr="00B37F23">
        <w:rPr>
          <w:sz w:val="24"/>
          <w:szCs w:val="24"/>
        </w:rPr>
        <w:t xml:space="preserve"> </w:t>
      </w:r>
      <w:r w:rsidRPr="00B37F23">
        <w:rPr>
          <w:sz w:val="24"/>
          <w:szCs w:val="24"/>
          <w:lang w:val="bg-BG"/>
        </w:rPr>
        <w:t xml:space="preserve">на наземно обслужените самолети спрямо планираните и отчетени през съответния период на предходната година, се дължи главно на увеличения брой полети на авиокомпания </w:t>
      </w:r>
      <w:r w:rsidRPr="00B37F23">
        <w:rPr>
          <w:sz w:val="24"/>
          <w:szCs w:val="24"/>
        </w:rPr>
        <w:t>Wizz Air</w:t>
      </w:r>
      <w:r w:rsidRPr="00B37F23">
        <w:rPr>
          <w:sz w:val="24"/>
          <w:szCs w:val="24"/>
          <w:lang w:val="bg-BG"/>
        </w:rPr>
        <w:t xml:space="preserve"> следствие на откритите пет нови директни линии до Женева, Неапол, Кьолн, Мюнхен </w:t>
      </w:r>
      <w:r w:rsidRPr="00B37F23">
        <w:rPr>
          <w:sz w:val="24"/>
          <w:szCs w:val="24"/>
        </w:rPr>
        <w:t>(</w:t>
      </w:r>
      <w:r w:rsidRPr="00B37F23">
        <w:rPr>
          <w:sz w:val="24"/>
          <w:szCs w:val="24"/>
          <w:lang w:val="bg-BG"/>
        </w:rPr>
        <w:t>Меминген</w:t>
      </w:r>
      <w:r w:rsidRPr="00B37F23">
        <w:rPr>
          <w:sz w:val="24"/>
          <w:szCs w:val="24"/>
        </w:rPr>
        <w:t xml:space="preserve">) </w:t>
      </w:r>
      <w:r w:rsidRPr="00B37F23">
        <w:rPr>
          <w:sz w:val="24"/>
          <w:szCs w:val="24"/>
          <w:lang w:val="bg-BG"/>
        </w:rPr>
        <w:t>и Бари</w:t>
      </w:r>
      <w:r w:rsidRPr="00B37F23">
        <w:rPr>
          <w:sz w:val="24"/>
          <w:szCs w:val="24"/>
        </w:rPr>
        <w:t>.</w:t>
      </w:r>
    </w:p>
    <w:p w:rsidR="00C268E7" w:rsidRPr="00B37F23" w:rsidRDefault="00C268E7" w:rsidP="00B37F23">
      <w:pPr>
        <w:ind w:firstLine="708"/>
        <w:rPr>
          <w:color w:val="000000"/>
          <w:sz w:val="24"/>
          <w:szCs w:val="24"/>
        </w:rPr>
      </w:pPr>
      <w:r w:rsidRPr="00B37F23">
        <w:rPr>
          <w:b/>
          <w:bCs/>
          <w:color w:val="000000"/>
          <w:sz w:val="24"/>
          <w:szCs w:val="24"/>
        </w:rPr>
        <w:t>2</w:t>
      </w:r>
      <w:r w:rsidRPr="00B37F23">
        <w:rPr>
          <w:b/>
          <w:bCs/>
          <w:color w:val="000000"/>
          <w:sz w:val="24"/>
          <w:szCs w:val="24"/>
          <w:lang w:val="bg-BG"/>
        </w:rPr>
        <w:t>.2</w:t>
      </w:r>
      <w:r w:rsidRPr="00B37F23">
        <w:rPr>
          <w:b/>
          <w:bCs/>
          <w:color w:val="000000"/>
          <w:sz w:val="24"/>
          <w:szCs w:val="24"/>
        </w:rPr>
        <w:t>. Обработени товари.</w:t>
      </w:r>
      <w:r w:rsidRPr="00B37F23">
        <w:rPr>
          <w:bCs/>
          <w:color w:val="000000"/>
          <w:sz w:val="24"/>
          <w:szCs w:val="24"/>
        </w:rPr>
        <w:t xml:space="preserve"> </w:t>
      </w:r>
      <w:r w:rsidRPr="00B37F23">
        <w:rPr>
          <w:bCs/>
          <w:color w:val="000000"/>
          <w:sz w:val="24"/>
          <w:szCs w:val="24"/>
          <w:lang w:val="bg-BG"/>
        </w:rPr>
        <w:t>Преиз</w:t>
      </w:r>
      <w:r w:rsidRPr="00B37F23">
        <w:rPr>
          <w:bCs/>
          <w:color w:val="000000"/>
          <w:sz w:val="24"/>
          <w:szCs w:val="24"/>
        </w:rPr>
        <w:t xml:space="preserve">пълнение на планирани  товари с 388 тона / </w:t>
      </w:r>
      <w:r w:rsidRPr="00B37F23">
        <w:rPr>
          <w:bCs/>
          <w:color w:val="000000"/>
          <w:sz w:val="24"/>
          <w:szCs w:val="24"/>
          <w:lang w:val="bg-BG"/>
        </w:rPr>
        <w:t xml:space="preserve">ръст  </w:t>
      </w:r>
      <w:r w:rsidRPr="00B37F23">
        <w:rPr>
          <w:bCs/>
          <w:color w:val="000000"/>
          <w:sz w:val="24"/>
          <w:szCs w:val="24"/>
        </w:rPr>
        <w:t>от 9.6</w:t>
      </w:r>
      <w:r w:rsidRPr="00B37F23">
        <w:rPr>
          <w:bCs/>
          <w:color w:val="000000"/>
          <w:sz w:val="24"/>
          <w:szCs w:val="24"/>
          <w:lang w:val="bg-BG"/>
        </w:rPr>
        <w:t xml:space="preserve"> </w:t>
      </w:r>
      <w:r w:rsidRPr="00B37F23">
        <w:rPr>
          <w:bCs/>
          <w:color w:val="000000"/>
          <w:sz w:val="24"/>
          <w:szCs w:val="24"/>
        </w:rPr>
        <w:t xml:space="preserve">% и </w:t>
      </w:r>
      <w:r w:rsidRPr="00B37F23">
        <w:rPr>
          <w:bCs/>
          <w:color w:val="000000"/>
          <w:sz w:val="24"/>
          <w:szCs w:val="24"/>
          <w:lang w:val="bg-BG"/>
        </w:rPr>
        <w:t xml:space="preserve">увеличение </w:t>
      </w:r>
      <w:r w:rsidRPr="00B37F23">
        <w:rPr>
          <w:bCs/>
          <w:color w:val="000000"/>
          <w:sz w:val="24"/>
          <w:szCs w:val="24"/>
        </w:rPr>
        <w:t xml:space="preserve">спрямо отчета за предходната година с 568 тона / </w:t>
      </w:r>
      <w:r w:rsidRPr="00B37F23">
        <w:rPr>
          <w:bCs/>
          <w:color w:val="000000"/>
          <w:sz w:val="24"/>
          <w:szCs w:val="24"/>
          <w:lang w:val="bg-BG"/>
        </w:rPr>
        <w:t>ръст</w:t>
      </w:r>
      <w:r w:rsidRPr="00B37F23">
        <w:rPr>
          <w:bCs/>
          <w:color w:val="000000"/>
          <w:sz w:val="24"/>
          <w:szCs w:val="24"/>
        </w:rPr>
        <w:t xml:space="preserve"> от 14.7 %</w:t>
      </w:r>
      <w:r w:rsidRPr="00B37F23">
        <w:rPr>
          <w:bCs/>
          <w:color w:val="000000"/>
          <w:sz w:val="24"/>
          <w:szCs w:val="24"/>
          <w:lang w:val="bg-BG"/>
        </w:rPr>
        <w:t>, дължащ се на</w:t>
      </w:r>
      <w:r w:rsidRPr="00B37F23">
        <w:rPr>
          <w:color w:val="000000"/>
          <w:sz w:val="24"/>
          <w:szCs w:val="24"/>
          <w:lang w:val="bg-BG"/>
        </w:rPr>
        <w:t xml:space="preserve"> допълнително развитие на карго дейността (извън дадените прогнози за обслужени ВС) с обслужване на самолети, които са за превоз на товари над 100 т.  </w:t>
      </w:r>
    </w:p>
    <w:p w:rsidR="00C268E7" w:rsidRPr="00B37F23" w:rsidRDefault="00C268E7" w:rsidP="00B37F23">
      <w:pPr>
        <w:spacing w:before="60" w:after="60" w:line="240" w:lineRule="atLeast"/>
        <w:ind w:left="-72" w:firstLine="780"/>
        <w:jc w:val="both"/>
        <w:rPr>
          <w:color w:val="000000"/>
          <w:sz w:val="24"/>
          <w:szCs w:val="24"/>
          <w:lang w:val="bg-BG"/>
        </w:rPr>
      </w:pPr>
      <w:r w:rsidRPr="00B37F23">
        <w:rPr>
          <w:b/>
          <w:bCs/>
          <w:color w:val="000000"/>
          <w:sz w:val="24"/>
          <w:szCs w:val="24"/>
        </w:rPr>
        <w:t>2.</w:t>
      </w:r>
      <w:r w:rsidRPr="00B37F23">
        <w:rPr>
          <w:b/>
          <w:bCs/>
          <w:color w:val="000000"/>
          <w:sz w:val="24"/>
          <w:szCs w:val="24"/>
          <w:lang w:val="bg-BG"/>
        </w:rPr>
        <w:t>3.</w:t>
      </w:r>
      <w:r w:rsidRPr="00B37F23">
        <w:rPr>
          <w:b/>
          <w:bCs/>
          <w:color w:val="000000"/>
          <w:sz w:val="24"/>
          <w:szCs w:val="24"/>
        </w:rPr>
        <w:t xml:space="preserve"> Продажби на гориво.</w:t>
      </w:r>
      <w:r w:rsidRPr="00B37F23">
        <w:rPr>
          <w:bCs/>
          <w:color w:val="000000"/>
          <w:sz w:val="24"/>
          <w:szCs w:val="24"/>
        </w:rPr>
        <w:t xml:space="preserve"> </w:t>
      </w:r>
      <w:r w:rsidRPr="00B37F23">
        <w:rPr>
          <w:color w:val="000000"/>
          <w:sz w:val="24"/>
          <w:szCs w:val="24"/>
          <w:lang w:val="bg-BG"/>
        </w:rPr>
        <w:t>Увеличение</w:t>
      </w:r>
      <w:r w:rsidRPr="00B37F23">
        <w:rPr>
          <w:color w:val="000000"/>
          <w:sz w:val="24"/>
          <w:szCs w:val="24"/>
        </w:rPr>
        <w:t xml:space="preserve"> на продажбите на авиационно гориво с 6 034 тона спрямо плана /</w:t>
      </w:r>
      <w:r w:rsidRPr="00B37F23">
        <w:rPr>
          <w:color w:val="000000"/>
          <w:sz w:val="24"/>
          <w:szCs w:val="24"/>
          <w:lang w:val="bg-BG"/>
        </w:rPr>
        <w:t xml:space="preserve">ръст </w:t>
      </w:r>
      <w:r w:rsidRPr="00B37F23">
        <w:rPr>
          <w:color w:val="000000"/>
          <w:sz w:val="24"/>
          <w:szCs w:val="24"/>
        </w:rPr>
        <w:t>от 9.3 % и с 7 205 тона спрямо отчета за предходната година /</w:t>
      </w:r>
      <w:r w:rsidRPr="00B37F23">
        <w:rPr>
          <w:color w:val="000000"/>
          <w:sz w:val="24"/>
          <w:szCs w:val="24"/>
          <w:lang w:val="bg-BG"/>
        </w:rPr>
        <w:t>ръст</w:t>
      </w:r>
      <w:r w:rsidRPr="00B37F23">
        <w:rPr>
          <w:color w:val="000000"/>
          <w:sz w:val="24"/>
          <w:szCs w:val="24"/>
        </w:rPr>
        <w:t xml:space="preserve"> от 11.3 %/.</w:t>
      </w:r>
    </w:p>
    <w:p w:rsidR="00C268E7" w:rsidRPr="00B37F23" w:rsidRDefault="00C268E7" w:rsidP="002365F8">
      <w:pPr>
        <w:spacing w:line="360" w:lineRule="auto"/>
        <w:ind w:left="3600"/>
        <w:jc w:val="both"/>
        <w:rPr>
          <w:sz w:val="22"/>
          <w:szCs w:val="22"/>
        </w:rPr>
      </w:pPr>
    </w:p>
    <w:p w:rsidR="00C268E7" w:rsidRPr="00B37F23" w:rsidRDefault="00C268E7" w:rsidP="002365F8">
      <w:pPr>
        <w:spacing w:line="360" w:lineRule="auto"/>
        <w:ind w:left="3600"/>
        <w:jc w:val="both"/>
        <w:rPr>
          <w:sz w:val="22"/>
          <w:szCs w:val="22"/>
          <w:lang w:val="bg-BG"/>
        </w:rPr>
      </w:pPr>
      <w:r w:rsidRPr="00B37F23">
        <w:rPr>
          <w:sz w:val="22"/>
          <w:szCs w:val="22"/>
          <w:lang w:val="bg-BG"/>
        </w:rPr>
        <w:t>Изпълнителен директор на “Летище София” ЕАД :</w:t>
      </w:r>
    </w:p>
    <w:p w:rsidR="00C268E7" w:rsidRPr="00B37F23" w:rsidRDefault="00C268E7" w:rsidP="002365F8">
      <w:pPr>
        <w:spacing w:line="360" w:lineRule="auto"/>
        <w:ind w:left="3600" w:firstLine="720"/>
        <w:jc w:val="both"/>
        <w:rPr>
          <w:sz w:val="22"/>
          <w:szCs w:val="22"/>
          <w:lang w:val="bg-BG"/>
        </w:rPr>
      </w:pPr>
    </w:p>
    <w:p w:rsidR="00C268E7" w:rsidRPr="00B37F23" w:rsidRDefault="00C268E7" w:rsidP="002365F8">
      <w:pPr>
        <w:spacing w:line="360" w:lineRule="auto"/>
        <w:ind w:left="3600"/>
        <w:jc w:val="both"/>
        <w:rPr>
          <w:color w:val="000000"/>
          <w:sz w:val="22"/>
          <w:szCs w:val="22"/>
          <w:lang w:val="bg-BG"/>
        </w:rPr>
      </w:pPr>
      <w:r w:rsidRPr="00B37F23">
        <w:rPr>
          <w:color w:val="000000"/>
          <w:sz w:val="22"/>
          <w:szCs w:val="22"/>
          <w:lang w:val="bg-BG"/>
        </w:rPr>
        <w:t>……………………../Христо Щерионов/</w:t>
      </w:r>
    </w:p>
    <w:p w:rsidR="00C268E7" w:rsidRPr="00B37F23" w:rsidRDefault="00C268E7" w:rsidP="002365F8">
      <w:pPr>
        <w:spacing w:line="360" w:lineRule="auto"/>
        <w:jc w:val="both"/>
        <w:rPr>
          <w:color w:val="000000"/>
          <w:sz w:val="22"/>
          <w:szCs w:val="22"/>
          <w:lang w:val="bg-BG"/>
        </w:rPr>
      </w:pPr>
    </w:p>
    <w:p w:rsidR="00C268E7" w:rsidRPr="007664A1" w:rsidRDefault="00C268E7" w:rsidP="002365F8">
      <w:pPr>
        <w:spacing w:line="360" w:lineRule="auto"/>
        <w:jc w:val="both"/>
        <w:rPr>
          <w:color w:val="FFFFFF"/>
          <w:sz w:val="22"/>
          <w:szCs w:val="22"/>
          <w:lang w:val="bg-BG"/>
        </w:rPr>
      </w:pPr>
      <w:r w:rsidRPr="007664A1">
        <w:rPr>
          <w:color w:val="FFFFFF"/>
          <w:sz w:val="22"/>
          <w:szCs w:val="22"/>
          <w:lang w:val="bg-BG"/>
        </w:rPr>
        <w:t>Съгласували:</w:t>
      </w:r>
    </w:p>
    <w:p w:rsidR="00C268E7" w:rsidRPr="007664A1" w:rsidRDefault="00C268E7" w:rsidP="002365F8">
      <w:pPr>
        <w:spacing w:line="360" w:lineRule="auto"/>
        <w:jc w:val="both"/>
        <w:rPr>
          <w:color w:val="FFFFFF"/>
          <w:sz w:val="22"/>
          <w:szCs w:val="22"/>
          <w:lang w:val="bg-BG"/>
        </w:rPr>
      </w:pPr>
    </w:p>
    <w:p w:rsidR="00C268E7" w:rsidRPr="007664A1" w:rsidRDefault="00C268E7" w:rsidP="002365F8">
      <w:pPr>
        <w:spacing w:line="360" w:lineRule="auto"/>
        <w:jc w:val="both"/>
        <w:rPr>
          <w:color w:val="FFFFFF"/>
          <w:sz w:val="22"/>
          <w:szCs w:val="22"/>
        </w:rPr>
      </w:pPr>
      <w:r w:rsidRPr="007664A1">
        <w:rPr>
          <w:color w:val="FFFFFF"/>
          <w:sz w:val="22"/>
          <w:szCs w:val="22"/>
        </w:rPr>
        <w:t>.................... Соня Димитрова</w:t>
      </w:r>
      <w:r w:rsidRPr="007664A1">
        <w:rPr>
          <w:color w:val="FFFFFF"/>
          <w:sz w:val="22"/>
          <w:szCs w:val="22"/>
          <w:lang w:val="bg-BG"/>
        </w:rPr>
        <w:t xml:space="preserve">- </w:t>
      </w:r>
      <w:r w:rsidRPr="007664A1">
        <w:rPr>
          <w:color w:val="FFFFFF"/>
          <w:sz w:val="22"/>
          <w:szCs w:val="22"/>
        </w:rPr>
        <w:t>Директор дирекция „Финанси”</w:t>
      </w:r>
    </w:p>
    <w:p w:rsidR="00C268E7" w:rsidRPr="007664A1" w:rsidRDefault="00C268E7" w:rsidP="002365F8">
      <w:pPr>
        <w:spacing w:line="360" w:lineRule="auto"/>
        <w:jc w:val="both"/>
        <w:rPr>
          <w:color w:val="FFFFFF"/>
          <w:sz w:val="22"/>
          <w:szCs w:val="22"/>
          <w:lang w:val="bg-BG"/>
        </w:rPr>
      </w:pPr>
    </w:p>
    <w:p w:rsidR="00C268E7" w:rsidRPr="007664A1" w:rsidRDefault="00C268E7" w:rsidP="002365F8">
      <w:pPr>
        <w:spacing w:line="360" w:lineRule="auto"/>
        <w:jc w:val="both"/>
        <w:rPr>
          <w:color w:val="FFFFFF"/>
          <w:sz w:val="22"/>
          <w:szCs w:val="22"/>
          <w:lang w:val="bg-BG"/>
        </w:rPr>
      </w:pPr>
      <w:r w:rsidRPr="007664A1">
        <w:rPr>
          <w:color w:val="FFFFFF"/>
          <w:sz w:val="22"/>
          <w:szCs w:val="22"/>
        </w:rPr>
        <w:t>.....................Йорданка Серафимова</w:t>
      </w:r>
      <w:r w:rsidRPr="007664A1">
        <w:rPr>
          <w:color w:val="FFFFFF"/>
          <w:sz w:val="22"/>
          <w:szCs w:val="22"/>
          <w:lang w:val="bg-BG"/>
        </w:rPr>
        <w:t xml:space="preserve">- </w:t>
      </w:r>
      <w:r w:rsidRPr="007664A1">
        <w:rPr>
          <w:color w:val="FFFFFF"/>
          <w:sz w:val="22"/>
          <w:szCs w:val="22"/>
        </w:rPr>
        <w:t>Ръководител отдел „Икономическо планиране и анализи”</w:t>
      </w:r>
    </w:p>
    <w:p w:rsidR="00C268E7" w:rsidRPr="007664A1" w:rsidRDefault="00C268E7" w:rsidP="002365F8">
      <w:pPr>
        <w:spacing w:line="360" w:lineRule="auto"/>
        <w:jc w:val="both"/>
        <w:rPr>
          <w:color w:val="FFFFFF"/>
          <w:sz w:val="22"/>
          <w:szCs w:val="22"/>
          <w:lang w:val="bg-BG"/>
        </w:rPr>
      </w:pPr>
    </w:p>
    <w:p w:rsidR="00C268E7" w:rsidRPr="007664A1" w:rsidRDefault="00C268E7" w:rsidP="002365F8">
      <w:pPr>
        <w:spacing w:line="360" w:lineRule="auto"/>
        <w:jc w:val="both"/>
        <w:rPr>
          <w:color w:val="FFFFFF"/>
          <w:sz w:val="22"/>
          <w:szCs w:val="22"/>
          <w:lang w:val="bg-BG"/>
        </w:rPr>
      </w:pPr>
    </w:p>
    <w:p w:rsidR="00C268E7" w:rsidRPr="007664A1" w:rsidRDefault="00C268E7" w:rsidP="002365F8">
      <w:pPr>
        <w:spacing w:line="360" w:lineRule="auto"/>
        <w:jc w:val="both"/>
        <w:rPr>
          <w:color w:val="FFFFFF"/>
          <w:sz w:val="22"/>
          <w:szCs w:val="22"/>
          <w:lang w:val="bg-BG"/>
        </w:rPr>
      </w:pPr>
      <w:r w:rsidRPr="007664A1">
        <w:rPr>
          <w:color w:val="FFFFFF"/>
          <w:sz w:val="22"/>
          <w:szCs w:val="22"/>
          <w:lang w:val="bg-BG"/>
        </w:rPr>
        <w:t>Изготвил:……..… Дора Грудева Икономист ст. в отдел „Икон.планиране и анализи“</w:t>
      </w:r>
    </w:p>
    <w:sectPr w:rsidR="00C268E7" w:rsidRPr="007664A1" w:rsidSect="005620BD">
      <w:footerReference w:type="default" r:id="rId8"/>
      <w:pgSz w:w="11906" w:h="16838" w:code="9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C65" w:rsidRDefault="002B3C65">
      <w:r>
        <w:separator/>
      </w:r>
    </w:p>
  </w:endnote>
  <w:endnote w:type="continuationSeparator" w:id="0">
    <w:p w:rsidR="002B3C65" w:rsidRDefault="002B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8E7" w:rsidRDefault="00C268E7"/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9137"/>
      <w:gridCol w:w="1015"/>
    </w:tblGrid>
    <w:tr w:rsidR="00C268E7">
      <w:tc>
        <w:tcPr>
          <w:tcW w:w="4500" w:type="pct"/>
          <w:tcBorders>
            <w:top w:val="single" w:sz="4" w:space="0" w:color="000000"/>
          </w:tcBorders>
        </w:tcPr>
        <w:p w:rsidR="00C268E7" w:rsidRDefault="00C268E7" w:rsidP="005620BD">
          <w:pPr>
            <w:pStyle w:val="Footer"/>
            <w:jc w:val="right"/>
          </w:pP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C268E7" w:rsidRDefault="002B3C65">
          <w:pPr>
            <w:pStyle w:val="Header"/>
            <w:rPr>
              <w:color w:val="FFFFFF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F6C30" w:rsidRPr="009F6C30">
            <w:rPr>
              <w:noProof/>
              <w:color w:val="FFFFFF"/>
            </w:rPr>
            <w:t>1</w:t>
          </w:r>
          <w:r>
            <w:rPr>
              <w:noProof/>
              <w:color w:val="FFFFFF"/>
            </w:rPr>
            <w:fldChar w:fldCharType="end"/>
          </w:r>
        </w:p>
      </w:tc>
    </w:tr>
  </w:tbl>
  <w:p w:rsidR="00C268E7" w:rsidRDefault="00C268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C65" w:rsidRDefault="002B3C65">
      <w:r>
        <w:separator/>
      </w:r>
    </w:p>
  </w:footnote>
  <w:footnote w:type="continuationSeparator" w:id="0">
    <w:p w:rsidR="002B3C65" w:rsidRDefault="002B3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375"/>
    <w:multiLevelType w:val="multilevel"/>
    <w:tmpl w:val="5A5C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75B19"/>
    <w:multiLevelType w:val="hybridMultilevel"/>
    <w:tmpl w:val="7B76E1F2"/>
    <w:lvl w:ilvl="0" w:tplc="693451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ECF4F9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BA6F47"/>
    <w:multiLevelType w:val="hybridMultilevel"/>
    <w:tmpl w:val="0FF221BC"/>
    <w:lvl w:ilvl="0" w:tplc="30E8B916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9D53E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B94454"/>
    <w:multiLevelType w:val="hybridMultilevel"/>
    <w:tmpl w:val="2124CA2C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DD4131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181E5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D745CE"/>
    <w:multiLevelType w:val="hybridMultilevel"/>
    <w:tmpl w:val="8B524796"/>
    <w:lvl w:ilvl="0" w:tplc="0402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204413A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C65C7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D2C366E"/>
    <w:multiLevelType w:val="hybridMultilevel"/>
    <w:tmpl w:val="E8FA4954"/>
    <w:lvl w:ilvl="0" w:tplc="399C770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3EE62AF"/>
    <w:multiLevelType w:val="multilevel"/>
    <w:tmpl w:val="3D6834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70505E9"/>
    <w:multiLevelType w:val="hybridMultilevel"/>
    <w:tmpl w:val="D35602E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F31024B"/>
    <w:multiLevelType w:val="hybridMultilevel"/>
    <w:tmpl w:val="4BAC8ED2"/>
    <w:lvl w:ilvl="0" w:tplc="0402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40997848"/>
    <w:multiLevelType w:val="hybridMultilevel"/>
    <w:tmpl w:val="8BB883A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FB06DD"/>
    <w:multiLevelType w:val="hybridMultilevel"/>
    <w:tmpl w:val="EFA89DB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49A11CC"/>
    <w:multiLevelType w:val="hybridMultilevel"/>
    <w:tmpl w:val="06D8E782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B56741B"/>
    <w:multiLevelType w:val="hybridMultilevel"/>
    <w:tmpl w:val="FC3C475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0761300"/>
    <w:multiLevelType w:val="hybridMultilevel"/>
    <w:tmpl w:val="6A6AEFE0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D7644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5F64424A"/>
    <w:multiLevelType w:val="hybridMultilevel"/>
    <w:tmpl w:val="980A3E4A"/>
    <w:lvl w:ilvl="0" w:tplc="0402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2">
    <w:nsid w:val="6280231D"/>
    <w:multiLevelType w:val="hybridMultilevel"/>
    <w:tmpl w:val="973A209E"/>
    <w:lvl w:ilvl="0" w:tplc="0402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3A3437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4636D21"/>
    <w:multiLevelType w:val="hybridMultilevel"/>
    <w:tmpl w:val="D33E77BA"/>
    <w:lvl w:ilvl="0" w:tplc="0402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5">
    <w:nsid w:val="671D1B7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AB909CA"/>
    <w:multiLevelType w:val="hybridMultilevel"/>
    <w:tmpl w:val="72906F12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DDD7AE2"/>
    <w:multiLevelType w:val="hybridMultilevel"/>
    <w:tmpl w:val="F60EFA16"/>
    <w:lvl w:ilvl="0" w:tplc="0402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D34BA6"/>
    <w:multiLevelType w:val="hybridMultilevel"/>
    <w:tmpl w:val="AE46262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CC6262"/>
    <w:multiLevelType w:val="hybridMultilevel"/>
    <w:tmpl w:val="14B496CE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>
    <w:nsid w:val="7812112F"/>
    <w:multiLevelType w:val="multilevel"/>
    <w:tmpl w:val="DF369B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1">
    <w:nsid w:val="781938EA"/>
    <w:multiLevelType w:val="hybridMultilevel"/>
    <w:tmpl w:val="3798329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9212C4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32"/>
  </w:num>
  <w:num w:numId="3">
    <w:abstractNumId w:val="7"/>
  </w:num>
  <w:num w:numId="4">
    <w:abstractNumId w:val="10"/>
  </w:num>
  <w:num w:numId="5">
    <w:abstractNumId w:val="2"/>
  </w:num>
  <w:num w:numId="6">
    <w:abstractNumId w:val="6"/>
  </w:num>
  <w:num w:numId="7">
    <w:abstractNumId w:val="25"/>
  </w:num>
  <w:num w:numId="8">
    <w:abstractNumId w:val="27"/>
  </w:num>
  <w:num w:numId="9">
    <w:abstractNumId w:val="4"/>
  </w:num>
  <w:num w:numId="10">
    <w:abstractNumId w:val="20"/>
  </w:num>
  <w:num w:numId="11">
    <w:abstractNumId w:val="9"/>
  </w:num>
  <w:num w:numId="12">
    <w:abstractNumId w:val="19"/>
  </w:num>
  <w:num w:numId="13">
    <w:abstractNumId w:val="11"/>
  </w:num>
  <w:num w:numId="14">
    <w:abstractNumId w:val="5"/>
  </w:num>
  <w:num w:numId="15">
    <w:abstractNumId w:val="24"/>
  </w:num>
  <w:num w:numId="16">
    <w:abstractNumId w:val="29"/>
  </w:num>
  <w:num w:numId="17">
    <w:abstractNumId w:val="8"/>
  </w:num>
  <w:num w:numId="18">
    <w:abstractNumId w:val="16"/>
  </w:num>
  <w:num w:numId="19">
    <w:abstractNumId w:val="14"/>
  </w:num>
  <w:num w:numId="20">
    <w:abstractNumId w:val="13"/>
  </w:num>
  <w:num w:numId="21">
    <w:abstractNumId w:val="30"/>
  </w:num>
  <w:num w:numId="22">
    <w:abstractNumId w:val="18"/>
  </w:num>
  <w:num w:numId="23">
    <w:abstractNumId w:val="26"/>
  </w:num>
  <w:num w:numId="24">
    <w:abstractNumId w:val="17"/>
  </w:num>
  <w:num w:numId="25">
    <w:abstractNumId w:val="31"/>
  </w:num>
  <w:num w:numId="26">
    <w:abstractNumId w:val="12"/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8"/>
  </w:num>
  <w:num w:numId="30">
    <w:abstractNumId w:val="21"/>
  </w:num>
  <w:num w:numId="31">
    <w:abstractNumId w:val="0"/>
  </w:num>
  <w:num w:numId="32">
    <w:abstractNumId w:val="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F8"/>
    <w:rsid w:val="000030B5"/>
    <w:rsid w:val="0006731E"/>
    <w:rsid w:val="000B1CFE"/>
    <w:rsid w:val="000C4E51"/>
    <w:rsid w:val="0010536C"/>
    <w:rsid w:val="00144C3D"/>
    <w:rsid w:val="00147836"/>
    <w:rsid w:val="00155695"/>
    <w:rsid w:val="001D1F6F"/>
    <w:rsid w:val="001F5FE5"/>
    <w:rsid w:val="0022026D"/>
    <w:rsid w:val="002365F8"/>
    <w:rsid w:val="002B3C65"/>
    <w:rsid w:val="003065B1"/>
    <w:rsid w:val="00313613"/>
    <w:rsid w:val="00330B0D"/>
    <w:rsid w:val="00365B6F"/>
    <w:rsid w:val="003A3B3D"/>
    <w:rsid w:val="00402FEE"/>
    <w:rsid w:val="00422F31"/>
    <w:rsid w:val="00426BFD"/>
    <w:rsid w:val="00464DC5"/>
    <w:rsid w:val="00493619"/>
    <w:rsid w:val="004C532C"/>
    <w:rsid w:val="004D07EA"/>
    <w:rsid w:val="004F3C65"/>
    <w:rsid w:val="00527DED"/>
    <w:rsid w:val="0055394B"/>
    <w:rsid w:val="005620BD"/>
    <w:rsid w:val="005920CF"/>
    <w:rsid w:val="005B6153"/>
    <w:rsid w:val="00602102"/>
    <w:rsid w:val="00607604"/>
    <w:rsid w:val="00647C6C"/>
    <w:rsid w:val="006974FE"/>
    <w:rsid w:val="006C258D"/>
    <w:rsid w:val="006E0BA7"/>
    <w:rsid w:val="00710CBD"/>
    <w:rsid w:val="007303B3"/>
    <w:rsid w:val="007566E1"/>
    <w:rsid w:val="007664A1"/>
    <w:rsid w:val="00795CAE"/>
    <w:rsid w:val="007C011D"/>
    <w:rsid w:val="007C6167"/>
    <w:rsid w:val="007F21B9"/>
    <w:rsid w:val="008551DF"/>
    <w:rsid w:val="008E1895"/>
    <w:rsid w:val="0092206D"/>
    <w:rsid w:val="00972404"/>
    <w:rsid w:val="009B3E61"/>
    <w:rsid w:val="009C4334"/>
    <w:rsid w:val="009F6C30"/>
    <w:rsid w:val="00AE3766"/>
    <w:rsid w:val="00B17DB3"/>
    <w:rsid w:val="00B37F23"/>
    <w:rsid w:val="00BC7013"/>
    <w:rsid w:val="00BD35D0"/>
    <w:rsid w:val="00BD4A4C"/>
    <w:rsid w:val="00BE50ED"/>
    <w:rsid w:val="00C268E7"/>
    <w:rsid w:val="00C73B64"/>
    <w:rsid w:val="00C95177"/>
    <w:rsid w:val="00CB58A3"/>
    <w:rsid w:val="00CE4C50"/>
    <w:rsid w:val="00D410CA"/>
    <w:rsid w:val="00D530FB"/>
    <w:rsid w:val="00D53DEC"/>
    <w:rsid w:val="00D86582"/>
    <w:rsid w:val="00DD21DC"/>
    <w:rsid w:val="00DF2911"/>
    <w:rsid w:val="00E061E7"/>
    <w:rsid w:val="00E103D2"/>
    <w:rsid w:val="00E4451B"/>
    <w:rsid w:val="00E67D7D"/>
    <w:rsid w:val="00EE076F"/>
    <w:rsid w:val="00F42708"/>
    <w:rsid w:val="00FB4F3D"/>
    <w:rsid w:val="00FE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5F8"/>
    <w:rPr>
      <w:rFonts w:ascii="Times New Roman" w:eastAsia="Times New Roman" w:hAnsi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65F8"/>
    <w:pPr>
      <w:keepNext/>
      <w:outlineLvl w:val="0"/>
    </w:pPr>
    <w:rPr>
      <w:rFonts w:ascii="Arial" w:hAnsi="Arial"/>
      <w:b/>
      <w:sz w:val="22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65F8"/>
    <w:pPr>
      <w:keepNext/>
      <w:outlineLvl w:val="1"/>
    </w:pPr>
    <w:rPr>
      <w:rFonts w:ascii="Arial Narrow" w:eastAsia="SimSun" w:hAnsi="Arial Narrow"/>
      <w:sz w:val="24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365F8"/>
    <w:pPr>
      <w:keepNext/>
      <w:outlineLvl w:val="2"/>
    </w:pPr>
    <w:rPr>
      <w:rFonts w:ascii="Arial" w:hAnsi="Arial"/>
      <w:b/>
      <w:color w:val="000000"/>
      <w:lang w:val="bg-BG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65F8"/>
    <w:pPr>
      <w:keepNext/>
      <w:spacing w:line="360" w:lineRule="auto"/>
      <w:outlineLvl w:val="4"/>
    </w:pPr>
    <w:rPr>
      <w:rFonts w:ascii="Arial Narrow" w:eastAsia="SimSun" w:hAnsi="Arial Narrow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65F8"/>
    <w:rPr>
      <w:rFonts w:ascii="Arial" w:hAnsi="Arial" w:cs="Times New Roman"/>
      <w:b/>
      <w:sz w:val="20"/>
      <w:szCs w:val="20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365F8"/>
    <w:rPr>
      <w:rFonts w:ascii="Arial Narrow" w:eastAsia="SimSun" w:hAnsi="Arial Narrow" w:cs="Times New Roman"/>
      <w:sz w:val="20"/>
      <w:szCs w:val="20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365F8"/>
    <w:rPr>
      <w:rFonts w:ascii="Arial" w:hAnsi="Arial" w:cs="Times New Roman"/>
      <w:b/>
      <w:color w:val="000000"/>
      <w:sz w:val="20"/>
      <w:szCs w:val="20"/>
      <w:lang w:val="bg-BG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365F8"/>
    <w:rPr>
      <w:rFonts w:ascii="Arial Narrow" w:eastAsia="SimSun" w:hAnsi="Arial Narrow" w:cs="Times New Roman"/>
      <w:b/>
      <w:sz w:val="20"/>
      <w:szCs w:val="20"/>
      <w:lang w:val="en-US" w:eastAsia="bg-BG"/>
    </w:rPr>
  </w:style>
  <w:style w:type="paragraph" w:styleId="BodyText">
    <w:name w:val="Body Text"/>
    <w:basedOn w:val="Normal"/>
    <w:link w:val="BodyTextChar"/>
    <w:uiPriority w:val="99"/>
    <w:rsid w:val="002365F8"/>
    <w:rPr>
      <w:rFonts w:ascii="Arial" w:hAnsi="Arial"/>
      <w:sz w:val="22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365F8"/>
    <w:rPr>
      <w:rFonts w:ascii="Arial" w:hAnsi="Arial" w:cs="Times New Roman"/>
      <w:sz w:val="20"/>
      <w:szCs w:val="20"/>
      <w:lang w:val="bg-BG" w:eastAsia="bg-BG"/>
    </w:rPr>
  </w:style>
  <w:style w:type="paragraph" w:styleId="Footer">
    <w:name w:val="footer"/>
    <w:basedOn w:val="Normal"/>
    <w:link w:val="FooterChar"/>
    <w:uiPriority w:val="99"/>
    <w:rsid w:val="002365F8"/>
    <w:pPr>
      <w:tabs>
        <w:tab w:val="center" w:pos="4703"/>
        <w:tab w:val="right" w:pos="9406"/>
      </w:tabs>
    </w:pPr>
    <w:rPr>
      <w:sz w:val="24"/>
      <w:lang w:val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365F8"/>
    <w:rPr>
      <w:rFonts w:ascii="Times New Roman" w:hAnsi="Times New Roman" w:cs="Times New Roman"/>
      <w:sz w:val="20"/>
      <w:szCs w:val="20"/>
      <w:lang w:val="bg-BG" w:eastAsia="bg-BG"/>
    </w:rPr>
  </w:style>
  <w:style w:type="paragraph" w:styleId="BodyText3">
    <w:name w:val="Body Text 3"/>
    <w:basedOn w:val="Normal"/>
    <w:link w:val="BodyText3Char"/>
    <w:uiPriority w:val="99"/>
    <w:rsid w:val="002365F8"/>
    <w:pPr>
      <w:spacing w:line="360" w:lineRule="auto"/>
      <w:jc w:val="both"/>
    </w:pPr>
    <w:rPr>
      <w:rFonts w:ascii="Arial Narrow" w:hAnsi="Arial Narrow"/>
      <w:sz w:val="24"/>
      <w:lang w:val="bg-BG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365F8"/>
    <w:rPr>
      <w:rFonts w:ascii="Arial Narrow" w:hAnsi="Arial Narrow" w:cs="Times New Roman"/>
      <w:sz w:val="20"/>
      <w:szCs w:val="20"/>
      <w:lang w:val="bg-BG" w:eastAsia="bg-BG"/>
    </w:rPr>
  </w:style>
  <w:style w:type="paragraph" w:styleId="BodyTextIndent3">
    <w:name w:val="Body Text Indent 3"/>
    <w:basedOn w:val="Normal"/>
    <w:link w:val="BodyTextIndent3Char"/>
    <w:uiPriority w:val="99"/>
    <w:rsid w:val="002365F8"/>
    <w:pPr>
      <w:ind w:firstLine="705"/>
      <w:jc w:val="both"/>
    </w:pPr>
    <w:rPr>
      <w:rFonts w:ascii="Arial" w:hAnsi="Arial"/>
      <w:sz w:val="22"/>
      <w:lang w:val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365F8"/>
    <w:rPr>
      <w:rFonts w:ascii="Arial" w:hAnsi="Arial" w:cs="Times New Roman"/>
      <w:sz w:val="20"/>
      <w:szCs w:val="20"/>
      <w:lang w:val="bg-BG" w:eastAsia="bg-BG"/>
    </w:rPr>
  </w:style>
  <w:style w:type="paragraph" w:styleId="BodyTextIndent">
    <w:name w:val="Body Text Indent"/>
    <w:basedOn w:val="Normal"/>
    <w:link w:val="BodyTextIndentChar"/>
    <w:uiPriority w:val="99"/>
    <w:rsid w:val="002365F8"/>
    <w:pPr>
      <w:jc w:val="both"/>
    </w:pPr>
    <w:rPr>
      <w:rFonts w:ascii="Arial" w:hAnsi="Arial"/>
      <w:sz w:val="22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365F8"/>
    <w:rPr>
      <w:rFonts w:ascii="Arial" w:hAnsi="Arial" w:cs="Times New Roman"/>
      <w:sz w:val="20"/>
      <w:szCs w:val="20"/>
      <w:lang w:val="bg-BG" w:eastAsia="bg-BG"/>
    </w:rPr>
  </w:style>
  <w:style w:type="paragraph" w:styleId="BodyTextIndent2">
    <w:name w:val="Body Text Indent 2"/>
    <w:basedOn w:val="Normal"/>
    <w:link w:val="BodyTextIndent2Char"/>
    <w:uiPriority w:val="99"/>
    <w:rsid w:val="002365F8"/>
    <w:pPr>
      <w:ind w:firstLine="708"/>
      <w:jc w:val="both"/>
    </w:pPr>
    <w:rPr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365F8"/>
    <w:rPr>
      <w:rFonts w:ascii="Times New Roman" w:hAnsi="Times New Roman" w:cs="Times New Roman"/>
      <w:b/>
      <w:sz w:val="20"/>
      <w:szCs w:val="20"/>
      <w:lang w:val="en-US" w:eastAsia="bg-BG"/>
    </w:rPr>
  </w:style>
  <w:style w:type="paragraph" w:styleId="FootnoteText">
    <w:name w:val="footnote text"/>
    <w:basedOn w:val="Normal"/>
    <w:link w:val="FootnoteTextChar"/>
    <w:uiPriority w:val="99"/>
    <w:semiHidden/>
    <w:rsid w:val="002365F8"/>
    <w:rPr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365F8"/>
    <w:rPr>
      <w:rFonts w:ascii="Times New Roman" w:hAnsi="Times New Roman" w:cs="Times New Roman"/>
      <w:sz w:val="20"/>
      <w:szCs w:val="20"/>
      <w:lang w:val="bg-BG" w:eastAsia="bg-BG"/>
    </w:rPr>
  </w:style>
  <w:style w:type="character" w:styleId="PageNumber">
    <w:name w:val="page number"/>
    <w:basedOn w:val="DefaultParagraphFont"/>
    <w:uiPriority w:val="99"/>
    <w:rsid w:val="002365F8"/>
    <w:rPr>
      <w:rFonts w:cs="Times New Roman"/>
    </w:rPr>
  </w:style>
  <w:style w:type="paragraph" w:customStyle="1" w:styleId="bodytext0b0">
    <w:name w:val="body text 0.b0"/>
    <w:basedOn w:val="Normal"/>
    <w:uiPriority w:val="99"/>
    <w:rsid w:val="002365F8"/>
    <w:rPr>
      <w:rFonts w:ascii="Times" w:hAnsi="Times"/>
      <w:kern w:val="2"/>
      <w:sz w:val="24"/>
    </w:rPr>
  </w:style>
  <w:style w:type="paragraph" w:styleId="Header">
    <w:name w:val="header"/>
    <w:basedOn w:val="Normal"/>
    <w:link w:val="HeaderChar"/>
    <w:uiPriority w:val="99"/>
    <w:rsid w:val="002365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365F8"/>
    <w:rPr>
      <w:rFonts w:ascii="Times New Roman" w:hAnsi="Times New Roman" w:cs="Times New Roman"/>
      <w:sz w:val="20"/>
      <w:szCs w:val="20"/>
      <w:lang w:val="en-US" w:eastAsia="bg-BG"/>
    </w:rPr>
  </w:style>
  <w:style w:type="paragraph" w:styleId="BodyText2">
    <w:name w:val="Body Text 2"/>
    <w:basedOn w:val="Normal"/>
    <w:link w:val="BodyText2Char"/>
    <w:uiPriority w:val="99"/>
    <w:rsid w:val="002365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365F8"/>
    <w:rPr>
      <w:rFonts w:ascii="Times New Roman" w:hAnsi="Times New Roman" w:cs="Times New Roman"/>
      <w:sz w:val="20"/>
      <w:szCs w:val="20"/>
      <w:lang w:val="en-US"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65F8"/>
    <w:rPr>
      <w:rFonts w:ascii="Tahoma" w:hAnsi="Tahoma" w:cs="Tahoma"/>
      <w:sz w:val="16"/>
      <w:szCs w:val="16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2365F8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365F8"/>
    <w:rPr>
      <w:rFonts w:ascii="Tahoma" w:hAnsi="Tahoma" w:cs="Tahoma"/>
      <w:sz w:val="16"/>
      <w:szCs w:val="16"/>
      <w:lang w:val="en-US" w:eastAsia="bg-BG"/>
    </w:rPr>
  </w:style>
  <w:style w:type="paragraph" w:customStyle="1" w:styleId="-">
    <w:name w:val="г-н"/>
    <w:basedOn w:val="Normal"/>
    <w:uiPriority w:val="99"/>
    <w:rsid w:val="002365F8"/>
    <w:pPr>
      <w:spacing w:after="360"/>
      <w:ind w:firstLine="720"/>
      <w:jc w:val="both"/>
    </w:pPr>
    <w:rPr>
      <w:rFonts w:ascii="Arial" w:hAnsi="Arial"/>
      <w:sz w:val="24"/>
      <w:lang w:val="bg-BG" w:eastAsia="en-US"/>
    </w:rPr>
  </w:style>
  <w:style w:type="character" w:styleId="Strong">
    <w:name w:val="Strong"/>
    <w:basedOn w:val="DefaultParagraphFont"/>
    <w:uiPriority w:val="99"/>
    <w:qFormat/>
    <w:rsid w:val="002365F8"/>
    <w:rPr>
      <w:rFonts w:cs="Times New Roman"/>
      <w:b/>
    </w:rPr>
  </w:style>
  <w:style w:type="paragraph" w:styleId="NormalWeb">
    <w:name w:val="Normal (Web)"/>
    <w:basedOn w:val="Normal"/>
    <w:uiPriority w:val="99"/>
    <w:rsid w:val="002365F8"/>
    <w:pPr>
      <w:spacing w:after="150"/>
    </w:pPr>
    <w:rPr>
      <w:color w:val="666666"/>
      <w:sz w:val="23"/>
      <w:szCs w:val="23"/>
      <w:lang w:val="bg-BG"/>
    </w:rPr>
  </w:style>
  <w:style w:type="paragraph" w:styleId="ListParagraph">
    <w:name w:val="List Paragraph"/>
    <w:basedOn w:val="Normal"/>
    <w:uiPriority w:val="99"/>
    <w:qFormat/>
    <w:rsid w:val="00B37F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5F8"/>
    <w:rPr>
      <w:rFonts w:ascii="Times New Roman" w:eastAsia="Times New Roman" w:hAnsi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65F8"/>
    <w:pPr>
      <w:keepNext/>
      <w:outlineLvl w:val="0"/>
    </w:pPr>
    <w:rPr>
      <w:rFonts w:ascii="Arial" w:hAnsi="Arial"/>
      <w:b/>
      <w:sz w:val="22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65F8"/>
    <w:pPr>
      <w:keepNext/>
      <w:outlineLvl w:val="1"/>
    </w:pPr>
    <w:rPr>
      <w:rFonts w:ascii="Arial Narrow" w:eastAsia="SimSun" w:hAnsi="Arial Narrow"/>
      <w:sz w:val="24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365F8"/>
    <w:pPr>
      <w:keepNext/>
      <w:outlineLvl w:val="2"/>
    </w:pPr>
    <w:rPr>
      <w:rFonts w:ascii="Arial" w:hAnsi="Arial"/>
      <w:b/>
      <w:color w:val="000000"/>
      <w:lang w:val="bg-BG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65F8"/>
    <w:pPr>
      <w:keepNext/>
      <w:spacing w:line="360" w:lineRule="auto"/>
      <w:outlineLvl w:val="4"/>
    </w:pPr>
    <w:rPr>
      <w:rFonts w:ascii="Arial Narrow" w:eastAsia="SimSun" w:hAnsi="Arial Narrow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65F8"/>
    <w:rPr>
      <w:rFonts w:ascii="Arial" w:hAnsi="Arial" w:cs="Times New Roman"/>
      <w:b/>
      <w:sz w:val="20"/>
      <w:szCs w:val="20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365F8"/>
    <w:rPr>
      <w:rFonts w:ascii="Arial Narrow" w:eastAsia="SimSun" w:hAnsi="Arial Narrow" w:cs="Times New Roman"/>
      <w:sz w:val="20"/>
      <w:szCs w:val="20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365F8"/>
    <w:rPr>
      <w:rFonts w:ascii="Arial" w:hAnsi="Arial" w:cs="Times New Roman"/>
      <w:b/>
      <w:color w:val="000000"/>
      <w:sz w:val="20"/>
      <w:szCs w:val="20"/>
      <w:lang w:val="bg-BG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365F8"/>
    <w:rPr>
      <w:rFonts w:ascii="Arial Narrow" w:eastAsia="SimSun" w:hAnsi="Arial Narrow" w:cs="Times New Roman"/>
      <w:b/>
      <w:sz w:val="20"/>
      <w:szCs w:val="20"/>
      <w:lang w:val="en-US" w:eastAsia="bg-BG"/>
    </w:rPr>
  </w:style>
  <w:style w:type="paragraph" w:styleId="BodyText">
    <w:name w:val="Body Text"/>
    <w:basedOn w:val="Normal"/>
    <w:link w:val="BodyTextChar"/>
    <w:uiPriority w:val="99"/>
    <w:rsid w:val="002365F8"/>
    <w:rPr>
      <w:rFonts w:ascii="Arial" w:hAnsi="Arial"/>
      <w:sz w:val="22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365F8"/>
    <w:rPr>
      <w:rFonts w:ascii="Arial" w:hAnsi="Arial" w:cs="Times New Roman"/>
      <w:sz w:val="20"/>
      <w:szCs w:val="20"/>
      <w:lang w:val="bg-BG" w:eastAsia="bg-BG"/>
    </w:rPr>
  </w:style>
  <w:style w:type="paragraph" w:styleId="Footer">
    <w:name w:val="footer"/>
    <w:basedOn w:val="Normal"/>
    <w:link w:val="FooterChar"/>
    <w:uiPriority w:val="99"/>
    <w:rsid w:val="002365F8"/>
    <w:pPr>
      <w:tabs>
        <w:tab w:val="center" w:pos="4703"/>
        <w:tab w:val="right" w:pos="9406"/>
      </w:tabs>
    </w:pPr>
    <w:rPr>
      <w:sz w:val="24"/>
      <w:lang w:val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365F8"/>
    <w:rPr>
      <w:rFonts w:ascii="Times New Roman" w:hAnsi="Times New Roman" w:cs="Times New Roman"/>
      <w:sz w:val="20"/>
      <w:szCs w:val="20"/>
      <w:lang w:val="bg-BG" w:eastAsia="bg-BG"/>
    </w:rPr>
  </w:style>
  <w:style w:type="paragraph" w:styleId="BodyText3">
    <w:name w:val="Body Text 3"/>
    <w:basedOn w:val="Normal"/>
    <w:link w:val="BodyText3Char"/>
    <w:uiPriority w:val="99"/>
    <w:rsid w:val="002365F8"/>
    <w:pPr>
      <w:spacing w:line="360" w:lineRule="auto"/>
      <w:jc w:val="both"/>
    </w:pPr>
    <w:rPr>
      <w:rFonts w:ascii="Arial Narrow" w:hAnsi="Arial Narrow"/>
      <w:sz w:val="24"/>
      <w:lang w:val="bg-BG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365F8"/>
    <w:rPr>
      <w:rFonts w:ascii="Arial Narrow" w:hAnsi="Arial Narrow" w:cs="Times New Roman"/>
      <w:sz w:val="20"/>
      <w:szCs w:val="20"/>
      <w:lang w:val="bg-BG" w:eastAsia="bg-BG"/>
    </w:rPr>
  </w:style>
  <w:style w:type="paragraph" w:styleId="BodyTextIndent3">
    <w:name w:val="Body Text Indent 3"/>
    <w:basedOn w:val="Normal"/>
    <w:link w:val="BodyTextIndent3Char"/>
    <w:uiPriority w:val="99"/>
    <w:rsid w:val="002365F8"/>
    <w:pPr>
      <w:ind w:firstLine="705"/>
      <w:jc w:val="both"/>
    </w:pPr>
    <w:rPr>
      <w:rFonts w:ascii="Arial" w:hAnsi="Arial"/>
      <w:sz w:val="22"/>
      <w:lang w:val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365F8"/>
    <w:rPr>
      <w:rFonts w:ascii="Arial" w:hAnsi="Arial" w:cs="Times New Roman"/>
      <w:sz w:val="20"/>
      <w:szCs w:val="20"/>
      <w:lang w:val="bg-BG" w:eastAsia="bg-BG"/>
    </w:rPr>
  </w:style>
  <w:style w:type="paragraph" w:styleId="BodyTextIndent">
    <w:name w:val="Body Text Indent"/>
    <w:basedOn w:val="Normal"/>
    <w:link w:val="BodyTextIndentChar"/>
    <w:uiPriority w:val="99"/>
    <w:rsid w:val="002365F8"/>
    <w:pPr>
      <w:jc w:val="both"/>
    </w:pPr>
    <w:rPr>
      <w:rFonts w:ascii="Arial" w:hAnsi="Arial"/>
      <w:sz w:val="22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365F8"/>
    <w:rPr>
      <w:rFonts w:ascii="Arial" w:hAnsi="Arial" w:cs="Times New Roman"/>
      <w:sz w:val="20"/>
      <w:szCs w:val="20"/>
      <w:lang w:val="bg-BG" w:eastAsia="bg-BG"/>
    </w:rPr>
  </w:style>
  <w:style w:type="paragraph" w:styleId="BodyTextIndent2">
    <w:name w:val="Body Text Indent 2"/>
    <w:basedOn w:val="Normal"/>
    <w:link w:val="BodyTextIndent2Char"/>
    <w:uiPriority w:val="99"/>
    <w:rsid w:val="002365F8"/>
    <w:pPr>
      <w:ind w:firstLine="708"/>
      <w:jc w:val="both"/>
    </w:pPr>
    <w:rPr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365F8"/>
    <w:rPr>
      <w:rFonts w:ascii="Times New Roman" w:hAnsi="Times New Roman" w:cs="Times New Roman"/>
      <w:b/>
      <w:sz w:val="20"/>
      <w:szCs w:val="20"/>
      <w:lang w:val="en-US" w:eastAsia="bg-BG"/>
    </w:rPr>
  </w:style>
  <w:style w:type="paragraph" w:styleId="FootnoteText">
    <w:name w:val="footnote text"/>
    <w:basedOn w:val="Normal"/>
    <w:link w:val="FootnoteTextChar"/>
    <w:uiPriority w:val="99"/>
    <w:semiHidden/>
    <w:rsid w:val="002365F8"/>
    <w:rPr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365F8"/>
    <w:rPr>
      <w:rFonts w:ascii="Times New Roman" w:hAnsi="Times New Roman" w:cs="Times New Roman"/>
      <w:sz w:val="20"/>
      <w:szCs w:val="20"/>
      <w:lang w:val="bg-BG" w:eastAsia="bg-BG"/>
    </w:rPr>
  </w:style>
  <w:style w:type="character" w:styleId="PageNumber">
    <w:name w:val="page number"/>
    <w:basedOn w:val="DefaultParagraphFont"/>
    <w:uiPriority w:val="99"/>
    <w:rsid w:val="002365F8"/>
    <w:rPr>
      <w:rFonts w:cs="Times New Roman"/>
    </w:rPr>
  </w:style>
  <w:style w:type="paragraph" w:customStyle="1" w:styleId="bodytext0b0">
    <w:name w:val="body text 0.b0"/>
    <w:basedOn w:val="Normal"/>
    <w:uiPriority w:val="99"/>
    <w:rsid w:val="002365F8"/>
    <w:rPr>
      <w:rFonts w:ascii="Times" w:hAnsi="Times"/>
      <w:kern w:val="2"/>
      <w:sz w:val="24"/>
    </w:rPr>
  </w:style>
  <w:style w:type="paragraph" w:styleId="Header">
    <w:name w:val="header"/>
    <w:basedOn w:val="Normal"/>
    <w:link w:val="HeaderChar"/>
    <w:uiPriority w:val="99"/>
    <w:rsid w:val="002365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365F8"/>
    <w:rPr>
      <w:rFonts w:ascii="Times New Roman" w:hAnsi="Times New Roman" w:cs="Times New Roman"/>
      <w:sz w:val="20"/>
      <w:szCs w:val="20"/>
      <w:lang w:val="en-US" w:eastAsia="bg-BG"/>
    </w:rPr>
  </w:style>
  <w:style w:type="paragraph" w:styleId="BodyText2">
    <w:name w:val="Body Text 2"/>
    <w:basedOn w:val="Normal"/>
    <w:link w:val="BodyText2Char"/>
    <w:uiPriority w:val="99"/>
    <w:rsid w:val="002365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365F8"/>
    <w:rPr>
      <w:rFonts w:ascii="Times New Roman" w:hAnsi="Times New Roman" w:cs="Times New Roman"/>
      <w:sz w:val="20"/>
      <w:szCs w:val="20"/>
      <w:lang w:val="en-US"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65F8"/>
    <w:rPr>
      <w:rFonts w:ascii="Tahoma" w:hAnsi="Tahoma" w:cs="Tahoma"/>
      <w:sz w:val="16"/>
      <w:szCs w:val="16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2365F8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365F8"/>
    <w:rPr>
      <w:rFonts w:ascii="Tahoma" w:hAnsi="Tahoma" w:cs="Tahoma"/>
      <w:sz w:val="16"/>
      <w:szCs w:val="16"/>
      <w:lang w:val="en-US" w:eastAsia="bg-BG"/>
    </w:rPr>
  </w:style>
  <w:style w:type="paragraph" w:customStyle="1" w:styleId="-">
    <w:name w:val="г-н"/>
    <w:basedOn w:val="Normal"/>
    <w:uiPriority w:val="99"/>
    <w:rsid w:val="002365F8"/>
    <w:pPr>
      <w:spacing w:after="360"/>
      <w:ind w:firstLine="720"/>
      <w:jc w:val="both"/>
    </w:pPr>
    <w:rPr>
      <w:rFonts w:ascii="Arial" w:hAnsi="Arial"/>
      <w:sz w:val="24"/>
      <w:lang w:val="bg-BG" w:eastAsia="en-US"/>
    </w:rPr>
  </w:style>
  <w:style w:type="character" w:styleId="Strong">
    <w:name w:val="Strong"/>
    <w:basedOn w:val="DefaultParagraphFont"/>
    <w:uiPriority w:val="99"/>
    <w:qFormat/>
    <w:rsid w:val="002365F8"/>
    <w:rPr>
      <w:rFonts w:cs="Times New Roman"/>
      <w:b/>
    </w:rPr>
  </w:style>
  <w:style w:type="paragraph" w:styleId="NormalWeb">
    <w:name w:val="Normal (Web)"/>
    <w:basedOn w:val="Normal"/>
    <w:uiPriority w:val="99"/>
    <w:rsid w:val="002365F8"/>
    <w:pPr>
      <w:spacing w:after="150"/>
    </w:pPr>
    <w:rPr>
      <w:color w:val="666666"/>
      <w:sz w:val="23"/>
      <w:szCs w:val="23"/>
      <w:lang w:val="bg-BG"/>
    </w:rPr>
  </w:style>
  <w:style w:type="paragraph" w:styleId="ListParagraph">
    <w:name w:val="List Paragraph"/>
    <w:basedOn w:val="Normal"/>
    <w:uiPriority w:val="99"/>
    <w:qFormat/>
    <w:rsid w:val="00B37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2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1714</Words>
  <Characters>9771</Characters>
  <Application>Microsoft Office Word</Application>
  <DocSecurity>0</DocSecurity>
  <Lines>81</Lines>
  <Paragraphs>22</Paragraphs>
  <ScaleCrop>false</ScaleCrop>
  <Company>Hewlett-Packard Company</Company>
  <LinksUpToDate>false</LinksUpToDate>
  <CharactersWithSpaces>11463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на резултатите от дейността на “Летище София“ ЕАД за периода янури – септември на</dc:title>
  <dc:creator>Jordanka Konstantinova Serafimova</dc:creator>
  <cp:lastModifiedBy>Dobrinka Antcheva</cp:lastModifiedBy>
  <cp:revision>2</cp:revision>
  <cp:lastPrinted>2015-10-21T13:48:00Z</cp:lastPrinted>
  <dcterms:created xsi:type="dcterms:W3CDTF">2015-10-23T11:17:00Z</dcterms:created>
  <dcterms:modified xsi:type="dcterms:W3CDTF">2015-10-23T11:17:00Z</dcterms:modified>
</cp:coreProperties>
</file>