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D98" w:rsidRPr="00657752" w:rsidRDefault="00D21D98" w:rsidP="00D21D98">
      <w:pPr>
        <w:ind w:right="-58"/>
        <w:jc w:val="center"/>
        <w:rPr>
          <w:rStyle w:val="Emphasis"/>
          <w:b/>
          <w:color w:val="0070C0"/>
          <w:sz w:val="40"/>
          <w:szCs w:val="56"/>
          <w:lang w:val="en-US"/>
        </w:rPr>
      </w:pPr>
      <w:bookmarkStart w:id="0" w:name="_GoBack"/>
      <w:bookmarkEnd w:id="0"/>
    </w:p>
    <w:p w:rsidR="00D21D98" w:rsidRPr="00FD38BA" w:rsidRDefault="00D21D98" w:rsidP="00D21D98">
      <w:pPr>
        <w:ind w:right="-58"/>
        <w:jc w:val="center"/>
        <w:rPr>
          <w:rStyle w:val="Emphasis"/>
          <w:b/>
          <w:sz w:val="56"/>
          <w:szCs w:val="56"/>
        </w:rPr>
      </w:pPr>
      <w:r w:rsidRPr="00FD38BA">
        <w:rPr>
          <w:rStyle w:val="Emphasis"/>
          <w:b/>
          <w:noProof/>
          <w:color w:val="0070C0"/>
          <w:sz w:val="56"/>
          <w:szCs w:val="56"/>
          <w:lang w:eastAsia="bg-BG"/>
        </w:rPr>
        <mc:AlternateContent>
          <mc:Choice Requires="wps">
            <w:drawing>
              <wp:anchor distT="0" distB="0" distL="114300" distR="114300" simplePos="0" relativeHeight="251655680" behindDoc="0" locked="0" layoutInCell="1" allowOverlap="1" wp14:anchorId="3EC6F6FE" wp14:editId="71FE3C7F">
                <wp:simplePos x="0" y="0"/>
                <wp:positionH relativeFrom="column">
                  <wp:posOffset>60325</wp:posOffset>
                </wp:positionH>
                <wp:positionV relativeFrom="paragraph">
                  <wp:posOffset>425450</wp:posOffset>
                </wp:positionV>
                <wp:extent cx="6102985" cy="10795"/>
                <wp:effectExtent l="0" t="0" r="0" b="0"/>
                <wp:wrapNone/>
                <wp:docPr id="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985" cy="10795"/>
                        </a:xfrm>
                        <a:prstGeom prst="straightConnector1">
                          <a:avLst/>
                        </a:prstGeom>
                        <a:noFill/>
                        <a:ln w="38100">
                          <a:solidFill>
                            <a:srgbClr val="0086C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73E77EE" id="_x0000_t32" coordsize="21600,21600" o:spt="32" o:oned="t" path="m,l21600,21600e" filled="f">
                <v:path arrowok="t" fillok="f" o:connecttype="none"/>
                <o:lock v:ext="edit" shapetype="t"/>
              </v:shapetype>
              <v:shape id="AutoShape 24" o:spid="_x0000_s1026" type="#_x0000_t32" style="position:absolute;margin-left:4.75pt;margin-top:33.5pt;width:480.55pt;height:.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" strokecolor="#0086ce" strokeweight="3pt">
                <v:shadow color="#1f4d78" opacity=".5" offset="1pt"/>
              </v:shape>
            </w:pict>
          </mc:Fallback>
        </mc:AlternateContent>
      </w:r>
      <w:bookmarkStart w:id="1" w:name="_Hlk509221390"/>
      <w:r w:rsidRPr="00FD38BA">
        <w:rPr>
          <w:rStyle w:val="Emphasis"/>
          <w:b/>
          <w:color w:val="0070C0"/>
          <w:sz w:val="56"/>
          <w:szCs w:val="56"/>
        </w:rPr>
        <w:t xml:space="preserve">„Пристанищен </w:t>
      </w:r>
      <w:r w:rsidR="00674EE9">
        <w:rPr>
          <w:rStyle w:val="Emphasis"/>
          <w:b/>
          <w:color w:val="0070C0"/>
          <w:sz w:val="56"/>
          <w:szCs w:val="56"/>
        </w:rPr>
        <w:t>к</w:t>
      </w:r>
      <w:r w:rsidRPr="00FD38BA">
        <w:rPr>
          <w:rStyle w:val="Emphasis"/>
          <w:b/>
          <w:color w:val="0070C0"/>
          <w:sz w:val="56"/>
          <w:szCs w:val="56"/>
        </w:rPr>
        <w:t>омплекс-Русе” ЕАД</w:t>
      </w:r>
      <w:bookmarkEnd w:id="1"/>
    </w:p>
    <w:p w:rsidR="00D21D98" w:rsidRPr="00FD38BA" w:rsidRDefault="00D21D98" w:rsidP="00D21D98">
      <w:pPr>
        <w:spacing w:after="120"/>
        <w:jc w:val="center"/>
        <w:rPr>
          <w:rFonts w:eastAsia="Batang"/>
          <w:i/>
          <w:caps/>
          <w:color w:val="0070C0"/>
          <w:spacing w:val="60"/>
          <w:w w:val="75"/>
          <w14:shadow w14:blurRad="50800" w14:dist="38100" w14:dir="2700000" w14:sx="100000" w14:sy="100000" w14:kx="0" w14:ky="0" w14:algn="tl">
            <w14:srgbClr w14:val="000000">
              <w14:alpha w14:val="60000"/>
            </w14:srgbClr>
          </w14:shadow>
        </w:rPr>
      </w:pPr>
    </w:p>
    <w:p w:rsidR="00D21D98" w:rsidRPr="00850335" w:rsidRDefault="00D21D98" w:rsidP="00D21D98">
      <w:pPr>
        <w:spacing w:after="120"/>
        <w:jc w:val="center"/>
        <w:rPr>
          <w:rFonts w:eastAsia="Batang"/>
          <w:i/>
          <w:caps/>
          <w:color w:val="0088CC"/>
          <w:spacing w:val="60"/>
          <w:w w:val="75"/>
          <w:lang w:val="ru-RU"/>
          <w14:shadow w14:blurRad="50800" w14:dist="38100" w14:dir="2700000" w14:sx="100000" w14:sy="100000" w14:kx="0" w14:ky="0" w14:algn="tl">
            <w14:srgbClr w14:val="000000">
              <w14:alpha w14:val="60000"/>
            </w14:srgbClr>
          </w14:shadow>
        </w:rPr>
      </w:pPr>
    </w:p>
    <w:p w:rsidR="00D21D98" w:rsidRPr="00850335" w:rsidRDefault="00D21D98" w:rsidP="00D21D98">
      <w:pPr>
        <w:spacing w:after="120"/>
        <w:jc w:val="center"/>
        <w:rPr>
          <w:rFonts w:eastAsia="Batang"/>
          <w:i/>
          <w:caps/>
          <w:color w:val="0088CC"/>
          <w:spacing w:val="60"/>
          <w:w w:val="75"/>
          <w:lang w:val="ru-RU"/>
          <w14:shadow w14:blurRad="50800" w14:dist="38100" w14:dir="2700000" w14:sx="100000" w14:sy="100000" w14:kx="0" w14:ky="0" w14:algn="tl">
            <w14:srgbClr w14:val="000000">
              <w14:alpha w14:val="60000"/>
            </w14:srgbClr>
          </w14:shadow>
        </w:rPr>
      </w:pPr>
    </w:p>
    <w:p w:rsidR="00D21D98" w:rsidRPr="00850335" w:rsidRDefault="00D21D98" w:rsidP="00D21D98">
      <w:pPr>
        <w:spacing w:after="120"/>
        <w:jc w:val="center"/>
        <w:rPr>
          <w:rFonts w:eastAsia="Batang"/>
          <w:caps/>
          <w:color w:val="0088CC"/>
          <w:spacing w:val="60"/>
          <w:w w:val="75"/>
          <w14:shadow w14:blurRad="50800" w14:dist="38100" w14:dir="2700000" w14:sx="100000" w14:sy="100000" w14:kx="0" w14:ky="0" w14:algn="tl">
            <w14:srgbClr w14:val="000000">
              <w14:alpha w14:val="60000"/>
            </w14:srgbClr>
          </w14:shadow>
        </w:rPr>
      </w:pPr>
      <w:r w:rsidRPr="00850335">
        <w:rPr>
          <w:rFonts w:eastAsia="Batang"/>
          <w:i/>
          <w:caps/>
          <w:noProof/>
          <w:color w:val="0088CC"/>
          <w:spacing w:val="60"/>
          <w:w w:val="75"/>
          <w:lang w:eastAsia="bg-BG"/>
          <w14:shadow w14:blurRad="50800" w14:dist="38100" w14:dir="2700000" w14:sx="100000" w14:sy="100000" w14:kx="0" w14:ky="0" w14:algn="tl">
            <w14:srgbClr w14:val="000000">
              <w14:alpha w14:val="60000"/>
            </w14:srgbClr>
          </w14:shadow>
        </w:rPr>
        <w:drawing>
          <wp:anchor distT="0" distB="0" distL="114300" distR="114300" simplePos="0" relativeHeight="251656704" behindDoc="0" locked="0" layoutInCell="1" allowOverlap="1" wp14:anchorId="4163C641" wp14:editId="2BB977AB">
            <wp:simplePos x="0" y="0"/>
            <wp:positionH relativeFrom="column">
              <wp:posOffset>2626995</wp:posOffset>
            </wp:positionH>
            <wp:positionV relativeFrom="paragraph">
              <wp:posOffset>83820</wp:posOffset>
            </wp:positionV>
            <wp:extent cx="922020" cy="962025"/>
            <wp:effectExtent l="0" t="0" r="0" b="9525"/>
            <wp:wrapSquare wrapText="bothSides"/>
            <wp:docPr id="6" name="Картина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202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D98" w:rsidRPr="00850335" w:rsidRDefault="00D21D98" w:rsidP="00D21D98">
      <w:pPr>
        <w:spacing w:after="120"/>
        <w:jc w:val="center"/>
        <w:rPr>
          <w:rFonts w:eastAsia="Batang"/>
          <w:i/>
          <w:caps/>
          <w:color w:val="0088CC"/>
          <w:spacing w:val="60"/>
          <w:w w:val="75"/>
          <w14:shadow w14:blurRad="50800" w14:dist="38100" w14:dir="2700000" w14:sx="100000" w14:sy="100000" w14:kx="0" w14:ky="0" w14:algn="tl">
            <w14:srgbClr w14:val="000000">
              <w14:alpha w14:val="60000"/>
            </w14:srgbClr>
          </w14:shadow>
        </w:rPr>
      </w:pPr>
    </w:p>
    <w:p w:rsidR="00D21D98" w:rsidRPr="006877A4" w:rsidRDefault="00D21D98" w:rsidP="00D21D98">
      <w:pPr>
        <w:pStyle w:val="BodyTextIndent"/>
        <w:spacing w:after="120"/>
        <w:ind w:firstLine="0"/>
        <w:rPr>
          <w:b/>
          <w:i/>
          <w:smallCaps/>
          <w:sz w:val="26"/>
          <w:szCs w:val="26"/>
        </w:rPr>
      </w:pPr>
    </w:p>
    <w:p w:rsidR="00D21D98" w:rsidRPr="002314DA" w:rsidRDefault="00D21D98" w:rsidP="00D21D98">
      <w:pPr>
        <w:pStyle w:val="BodyTextIndent"/>
        <w:spacing w:after="120"/>
        <w:ind w:firstLine="0"/>
        <w:rPr>
          <w:b/>
          <w:i/>
          <w:smallCaps/>
          <w:sz w:val="26"/>
          <w:szCs w:val="26"/>
        </w:rPr>
      </w:pPr>
    </w:p>
    <w:p w:rsidR="00D21D98" w:rsidRPr="00334645" w:rsidRDefault="00D21D98" w:rsidP="00D21D98">
      <w:pPr>
        <w:pStyle w:val="BodyTextIndent"/>
        <w:spacing w:after="120"/>
        <w:ind w:firstLine="0"/>
        <w:rPr>
          <w:b/>
          <w:i/>
          <w:smallCaps/>
          <w:sz w:val="26"/>
          <w:szCs w:val="26"/>
          <w:lang w:val="ru-RU"/>
        </w:rPr>
      </w:pPr>
    </w:p>
    <w:p w:rsidR="00D21D98" w:rsidRPr="00042B58" w:rsidRDefault="00D21D98" w:rsidP="00D21D98">
      <w:pPr>
        <w:pStyle w:val="BodyTextIndent"/>
        <w:spacing w:after="120"/>
        <w:ind w:firstLine="0"/>
        <w:rPr>
          <w:b/>
          <w:i/>
          <w:smallCaps/>
          <w:sz w:val="26"/>
          <w:szCs w:val="26"/>
        </w:rPr>
      </w:pPr>
    </w:p>
    <w:p w:rsidR="00D21D98" w:rsidRPr="00FD38BA" w:rsidRDefault="0059614C" w:rsidP="00D21D98">
      <w:pPr>
        <w:pStyle w:val="IntenseQuote"/>
        <w:ind w:left="0" w:right="-58"/>
        <w:rPr>
          <w:b/>
          <w:i w:val="0"/>
          <w:color w:val="0070C0"/>
          <w:w w:val="90"/>
          <w:sz w:val="80"/>
          <w:szCs w:val="80"/>
          <w14:shadow w14:blurRad="50800" w14:dist="38100" w14:dir="2700000" w14:sx="100000" w14:sy="100000" w14:kx="0" w14:ky="0" w14:algn="tl">
            <w14:srgbClr w14:val="000000">
              <w14:alpha w14:val="60000"/>
            </w14:srgbClr>
          </w14:shadow>
        </w:rPr>
      </w:pPr>
      <w:r>
        <w:rPr>
          <w:b/>
          <w:i w:val="0"/>
          <w:color w:val="0070C0"/>
          <w:w w:val="90"/>
          <w:sz w:val="80"/>
          <w:szCs w:val="80"/>
          <w14:shadow w14:blurRad="50800" w14:dist="38100" w14:dir="2700000" w14:sx="100000" w14:sy="100000" w14:kx="0" w14:ky="0" w14:algn="tl">
            <w14:srgbClr w14:val="000000">
              <w14:alpha w14:val="60000"/>
            </w14:srgbClr>
          </w14:shadow>
        </w:rPr>
        <w:t xml:space="preserve">ГОДИШЕН                   </w:t>
      </w:r>
      <w:r w:rsidR="00D21D98" w:rsidRPr="00FD38BA">
        <w:rPr>
          <w:b/>
          <w:i w:val="0"/>
          <w:color w:val="0070C0"/>
          <w:w w:val="90"/>
          <w:sz w:val="80"/>
          <w:szCs w:val="80"/>
          <w14:shadow w14:blurRad="50800" w14:dist="38100" w14:dir="2700000" w14:sx="100000" w14:sy="100000" w14:kx="0" w14:ky="0" w14:algn="tl">
            <w14:srgbClr w14:val="000000">
              <w14:alpha w14:val="60000"/>
            </w14:srgbClr>
          </w14:shadow>
        </w:rPr>
        <w:t>АНАЛИЗ</w:t>
      </w:r>
      <w:r w:rsidR="00D21D98" w:rsidRPr="00FD38BA">
        <w:rPr>
          <w:b/>
          <w:i w:val="0"/>
          <w:color w:val="0070C0"/>
          <w:w w:val="90"/>
          <w:sz w:val="80"/>
          <w:szCs w:val="80"/>
          <w:lang w:val="ru-RU"/>
          <w14:shadow w14:blurRad="50800" w14:dist="38100" w14:dir="2700000" w14:sx="100000" w14:sy="100000" w14:kx="0" w14:ky="0" w14:algn="tl">
            <w14:srgbClr w14:val="000000">
              <w14:alpha w14:val="60000"/>
            </w14:srgbClr>
          </w14:shadow>
        </w:rPr>
        <w:t xml:space="preserve"> </w:t>
      </w:r>
      <w:r w:rsidR="00D21D98" w:rsidRPr="00FD38BA">
        <w:rPr>
          <w:b/>
          <w:i w:val="0"/>
          <w:color w:val="0070C0"/>
          <w:w w:val="90"/>
          <w:sz w:val="80"/>
          <w:szCs w:val="80"/>
          <w14:shadow w14:blurRad="50800" w14:dist="38100" w14:dir="2700000" w14:sx="100000" w14:sy="100000" w14:kx="0" w14:ky="0" w14:algn="tl">
            <w14:srgbClr w14:val="000000">
              <w14:alpha w14:val="60000"/>
            </w14:srgbClr>
          </w14:shadow>
        </w:rPr>
        <w:t>НА ДЕЙНОСТТА</w:t>
      </w:r>
    </w:p>
    <w:p w:rsidR="00D21D98" w:rsidRPr="004D03A3" w:rsidRDefault="00D21D98" w:rsidP="00D21D98">
      <w:pPr>
        <w:pStyle w:val="Title"/>
        <w:spacing w:after="120"/>
        <w:ind w:left="0"/>
        <w:rPr>
          <w:b w:val="0"/>
          <w:bCs/>
          <w:i/>
          <w:iCs/>
          <w:color w:val="0088CC"/>
          <w:spacing w:val="40"/>
          <w:w w:val="75"/>
          <w:sz w:val="70"/>
          <w:szCs w:val="70"/>
          <w:lang w:val="en-US"/>
          <w14:shadow w14:blurRad="50800" w14:dist="38100" w14:dir="2700000" w14:sx="100000" w14:sy="100000" w14:kx="0" w14:ky="0" w14:algn="tl">
            <w14:srgbClr w14:val="000000">
              <w14:alpha w14:val="60000"/>
            </w14:srgbClr>
          </w14:shadow>
        </w:rPr>
      </w:pPr>
      <w:r w:rsidRPr="0091788F">
        <w:rPr>
          <w:rStyle w:val="Emphasis"/>
          <w:color w:val="0070C0"/>
          <w:sz w:val="56"/>
        </w:rPr>
        <w:t>201</w:t>
      </w:r>
      <w:r>
        <w:rPr>
          <w:rStyle w:val="Emphasis"/>
          <w:color w:val="0070C0"/>
          <w:sz w:val="56"/>
          <w:lang w:val="en-US"/>
        </w:rPr>
        <w:t>9</w:t>
      </w:r>
    </w:p>
    <w:p w:rsidR="00D21D98" w:rsidRPr="0091788F" w:rsidRDefault="00D21D98" w:rsidP="00D21D98">
      <w:pPr>
        <w:spacing w:after="120"/>
        <w:jc w:val="center"/>
        <w:rPr>
          <w:rFonts w:eastAsia="Batang"/>
          <w:i/>
          <w:caps/>
          <w:color w:val="0088CC"/>
          <w:spacing w:val="24"/>
          <w:w w:val="80"/>
          <w:lang w:val="en-US"/>
          <w14:shadow w14:blurRad="50800" w14:dist="38100" w14:dir="2700000" w14:sx="100000" w14:sy="100000" w14:kx="0" w14:ky="0" w14:algn="tl">
            <w14:srgbClr w14:val="000000">
              <w14:alpha w14:val="60000"/>
            </w14:srgbClr>
          </w14:shadow>
        </w:rPr>
      </w:pPr>
    </w:p>
    <w:p w:rsidR="00D21D98" w:rsidRPr="0091788F" w:rsidRDefault="00D21D98" w:rsidP="00D21D98">
      <w:pPr>
        <w:spacing w:after="120"/>
        <w:jc w:val="center"/>
        <w:rPr>
          <w:rFonts w:eastAsia="Batang"/>
          <w:i/>
          <w:caps/>
          <w:color w:val="0088CC"/>
          <w:spacing w:val="24"/>
          <w:w w:val="80"/>
          <w:lang w:val="en-US"/>
          <w14:shadow w14:blurRad="50800" w14:dist="38100" w14:dir="2700000" w14:sx="100000" w14:sy="100000" w14:kx="0" w14:ky="0" w14:algn="tl">
            <w14:srgbClr w14:val="000000">
              <w14:alpha w14:val="60000"/>
            </w14:srgbClr>
          </w14:shadow>
        </w:rPr>
      </w:pPr>
    </w:p>
    <w:p w:rsidR="00D21D98" w:rsidRPr="0091788F" w:rsidRDefault="00D21D98" w:rsidP="00D21D98">
      <w:pPr>
        <w:spacing w:after="120"/>
        <w:jc w:val="center"/>
        <w:rPr>
          <w:rFonts w:eastAsia="Batang"/>
          <w:i/>
          <w:caps/>
          <w:color w:val="0088CC"/>
          <w:spacing w:val="24"/>
          <w:w w:val="80"/>
          <w:lang w:val="en-US"/>
          <w14:shadow w14:blurRad="50800" w14:dist="38100" w14:dir="2700000" w14:sx="100000" w14:sy="100000" w14:kx="0" w14:ky="0" w14:algn="tl">
            <w14:srgbClr w14:val="000000">
              <w14:alpha w14:val="60000"/>
            </w14:srgbClr>
          </w14:shadow>
        </w:rPr>
      </w:pPr>
    </w:p>
    <w:p w:rsidR="00D21D98" w:rsidRPr="0091788F" w:rsidRDefault="00D21D98" w:rsidP="00D21D98">
      <w:pPr>
        <w:spacing w:after="120"/>
        <w:jc w:val="center"/>
        <w:rPr>
          <w:rFonts w:eastAsia="Batang"/>
          <w:i/>
          <w:caps/>
          <w:color w:val="0088CC"/>
          <w:spacing w:val="24"/>
          <w:w w:val="80"/>
          <w:lang w:val="en-US"/>
          <w14:shadow w14:blurRad="50800" w14:dist="38100" w14:dir="2700000" w14:sx="100000" w14:sy="100000" w14:kx="0" w14:ky="0" w14:algn="tl">
            <w14:srgbClr w14:val="000000">
              <w14:alpha w14:val="60000"/>
            </w14:srgbClr>
          </w14:shadow>
        </w:rPr>
      </w:pPr>
    </w:p>
    <w:p w:rsidR="00D21D98" w:rsidRDefault="00D21D98" w:rsidP="00D21D98">
      <w:pPr>
        <w:spacing w:after="120"/>
        <w:rPr>
          <w:rFonts w:eastAsia="Batang"/>
          <w:i/>
          <w:caps/>
          <w:color w:val="0088CC"/>
          <w:spacing w:val="24"/>
          <w:w w:val="80"/>
          <w:lang w:val="en-US"/>
          <w14:shadow w14:blurRad="50800" w14:dist="38100" w14:dir="2700000" w14:sx="100000" w14:sy="100000" w14:kx="0" w14:ky="0" w14:algn="tl">
            <w14:srgbClr w14:val="000000">
              <w14:alpha w14:val="60000"/>
            </w14:srgbClr>
          </w14:shadow>
        </w:rPr>
      </w:pPr>
    </w:p>
    <w:p w:rsidR="00D21D98" w:rsidRDefault="00D21D98" w:rsidP="00D21D98">
      <w:pPr>
        <w:spacing w:after="120"/>
        <w:rPr>
          <w:rFonts w:eastAsia="Batang"/>
          <w:i/>
          <w:caps/>
          <w:color w:val="0088CC"/>
          <w:spacing w:val="24"/>
          <w:w w:val="80"/>
          <w:lang w:val="en-US"/>
          <w14:shadow w14:blurRad="50800" w14:dist="38100" w14:dir="2700000" w14:sx="100000" w14:sy="100000" w14:kx="0" w14:ky="0" w14:algn="tl">
            <w14:srgbClr w14:val="000000">
              <w14:alpha w14:val="60000"/>
            </w14:srgbClr>
          </w14:shadow>
        </w:rPr>
      </w:pPr>
    </w:p>
    <w:p w:rsidR="00D21D98" w:rsidRPr="0091788F" w:rsidRDefault="00D21D98" w:rsidP="00D21D98">
      <w:pPr>
        <w:spacing w:after="120"/>
        <w:rPr>
          <w:rFonts w:eastAsia="Batang"/>
          <w:i/>
          <w:caps/>
          <w:color w:val="0088CC"/>
          <w:spacing w:val="24"/>
          <w:w w:val="80"/>
          <w:lang w:val="en-US"/>
          <w14:shadow w14:blurRad="50800" w14:dist="38100" w14:dir="2700000" w14:sx="100000" w14:sy="100000" w14:kx="0" w14:ky="0" w14:algn="tl">
            <w14:srgbClr w14:val="000000">
              <w14:alpha w14:val="60000"/>
            </w14:srgbClr>
          </w14:shadow>
        </w:rPr>
      </w:pPr>
    </w:p>
    <w:p w:rsidR="00D21D98" w:rsidRPr="0091788F" w:rsidRDefault="00D21D98" w:rsidP="00D21D98">
      <w:pPr>
        <w:spacing w:after="120"/>
        <w:jc w:val="center"/>
        <w:rPr>
          <w:rFonts w:eastAsia="Batang"/>
          <w:i/>
          <w:caps/>
          <w:color w:val="0088CC"/>
          <w:spacing w:val="24"/>
          <w:w w:val="80"/>
          <w:lang w:val="en-US"/>
          <w14:shadow w14:blurRad="50800" w14:dist="38100" w14:dir="2700000" w14:sx="100000" w14:sy="100000" w14:kx="0" w14:ky="0" w14:algn="tl">
            <w14:srgbClr w14:val="000000">
              <w14:alpha w14:val="60000"/>
            </w14:srgbClr>
          </w14:shadow>
        </w:rPr>
      </w:pPr>
    </w:p>
    <w:p w:rsidR="00D21D98" w:rsidRPr="0033232D" w:rsidRDefault="00D21D98" w:rsidP="00D21D98">
      <w:pPr>
        <w:pStyle w:val="BodyText"/>
        <w:spacing w:after="120"/>
        <w:jc w:val="center"/>
        <w:rPr>
          <w:i/>
          <w:lang w:val="en-US"/>
        </w:rPr>
      </w:pPr>
      <w:r w:rsidRPr="0033232D">
        <w:rPr>
          <w:i/>
          <w:noProof/>
          <w:lang w:eastAsia="bg-BG"/>
        </w:rPr>
        <w:drawing>
          <wp:inline distT="0" distB="0" distL="0" distR="0" wp14:anchorId="05309C9D" wp14:editId="34F4DD12">
            <wp:extent cx="847725" cy="429415"/>
            <wp:effectExtent l="0" t="0" r="0" b="8890"/>
            <wp:docPr id="4" name="Picture 4" descr="C:\Users\Silvena\Desktop\9105086487_91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lvena\Desktop\9105086487_9155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0225" cy="430681"/>
                    </a:xfrm>
                    <a:prstGeom prst="rect">
                      <a:avLst/>
                    </a:prstGeom>
                    <a:noFill/>
                    <a:ln>
                      <a:noFill/>
                    </a:ln>
                  </pic:spPr>
                </pic:pic>
              </a:graphicData>
            </a:graphic>
          </wp:inline>
        </w:drawing>
      </w:r>
    </w:p>
    <w:p w:rsidR="00D21D98" w:rsidRPr="0033232D" w:rsidRDefault="00D21D98" w:rsidP="00D21D98">
      <w:pPr>
        <w:pStyle w:val="BodyText"/>
        <w:spacing w:after="120"/>
        <w:jc w:val="center"/>
        <w:rPr>
          <w:rFonts w:ascii="Monotype Corsiva" w:hAnsi="Monotype Corsiva"/>
          <w:sz w:val="22"/>
          <w:szCs w:val="22"/>
          <w:lang w:val="en-US"/>
        </w:rPr>
      </w:pPr>
      <w:bookmarkStart w:id="2" w:name="_Hlk509221022"/>
      <w:r w:rsidRPr="0033232D">
        <w:rPr>
          <w:rFonts w:ascii="Monotype Corsiva" w:hAnsi="Monotype Corsiva"/>
          <w:sz w:val="22"/>
          <w:szCs w:val="22"/>
        </w:rPr>
        <w:t xml:space="preserve">„Пристанищен комплекс – Русе” ЕАД е сертифициран по стандарта </w:t>
      </w:r>
      <w:r w:rsidRPr="0033232D">
        <w:rPr>
          <w:rFonts w:ascii="Monotype Corsiva" w:hAnsi="Monotype Corsiva"/>
          <w:sz w:val="22"/>
          <w:szCs w:val="22"/>
          <w:lang w:val="en-US"/>
        </w:rPr>
        <w:t>ISO</w:t>
      </w:r>
      <w:r w:rsidRPr="0033232D">
        <w:rPr>
          <w:rFonts w:ascii="Monotype Corsiva" w:hAnsi="Monotype Corsiva"/>
          <w:sz w:val="22"/>
          <w:szCs w:val="22"/>
          <w:lang w:val="ru-RU"/>
        </w:rPr>
        <w:t xml:space="preserve"> 9001:20</w:t>
      </w:r>
      <w:r w:rsidRPr="0033232D">
        <w:rPr>
          <w:rFonts w:ascii="Monotype Corsiva" w:hAnsi="Monotype Corsiva"/>
          <w:sz w:val="22"/>
          <w:szCs w:val="22"/>
          <w:lang w:val="en-US"/>
        </w:rPr>
        <w:t>15</w:t>
      </w:r>
    </w:p>
    <w:p w:rsidR="00D21D98" w:rsidRPr="0033232D" w:rsidRDefault="00D21D98" w:rsidP="00D21D98">
      <w:pPr>
        <w:pStyle w:val="BodyText"/>
        <w:spacing w:after="120"/>
        <w:jc w:val="center"/>
        <w:rPr>
          <w:rFonts w:ascii="Monotype Corsiva" w:hAnsi="Monotype Corsiva"/>
          <w:sz w:val="22"/>
          <w:szCs w:val="22"/>
          <w:lang w:val="ru-RU"/>
        </w:rPr>
      </w:pPr>
      <w:r w:rsidRPr="0033232D">
        <w:rPr>
          <w:rFonts w:ascii="Monotype Corsiva" w:hAnsi="Monotype Corsiva"/>
          <w:sz w:val="22"/>
          <w:szCs w:val="22"/>
        </w:rPr>
        <w:t>от „ТЮФ Рейнланд  -България“ ЕООД</w:t>
      </w:r>
      <w:bookmarkEnd w:id="2"/>
      <w:r w:rsidRPr="0033232D">
        <w:rPr>
          <w:rFonts w:ascii="Monotype Corsiva" w:hAnsi="Monotype Corsiva"/>
          <w:sz w:val="22"/>
          <w:szCs w:val="22"/>
          <w:lang w:val="ru-RU"/>
        </w:rPr>
        <w:t>.</w:t>
      </w:r>
    </w:p>
    <w:p w:rsidR="00026F78" w:rsidRPr="003D5468" w:rsidRDefault="00026F78" w:rsidP="00026F78">
      <w:pPr>
        <w:pStyle w:val="BodyText"/>
        <w:rPr>
          <w:lang w:eastAsia="en-US"/>
        </w:rPr>
      </w:pPr>
    </w:p>
    <w:p w:rsidR="00026F78" w:rsidRPr="003D5468" w:rsidRDefault="00026F78" w:rsidP="00026F78">
      <w:pPr>
        <w:pStyle w:val="BodyText"/>
        <w:rPr>
          <w:lang w:eastAsia="en-US"/>
        </w:rPr>
      </w:pPr>
    </w:p>
    <w:p w:rsidR="00B22555" w:rsidRPr="003D5468" w:rsidRDefault="00B22555" w:rsidP="00B42C52">
      <w:pPr>
        <w:pStyle w:val="Subtitle"/>
        <w:spacing w:after="120" w:line="240" w:lineRule="auto"/>
        <w:ind w:left="0" w:right="0"/>
        <w:jc w:val="center"/>
        <w:rPr>
          <w:color w:val="0088CC"/>
          <w:spacing w:val="60"/>
          <w:w w:val="90"/>
          <w:sz w:val="24"/>
          <w:szCs w:val="24"/>
          <w:u w:val="single"/>
          <w:lang w:val="bg-BG"/>
          <w14:shadow w14:blurRad="50800" w14:dist="38100" w14:dir="2700000" w14:sx="100000" w14:sy="100000" w14:kx="0" w14:ky="0" w14:algn="tl">
            <w14:srgbClr w14:val="000000">
              <w14:alpha w14:val="60000"/>
            </w14:srgbClr>
          </w14:shadow>
        </w:rPr>
      </w:pPr>
    </w:p>
    <w:p w:rsidR="00E22AC9" w:rsidRPr="003D5468" w:rsidRDefault="00E22AC9" w:rsidP="00B42C52">
      <w:pPr>
        <w:pStyle w:val="Subtitle"/>
        <w:spacing w:after="120" w:line="240" w:lineRule="auto"/>
        <w:ind w:left="0" w:right="0"/>
        <w:jc w:val="center"/>
        <w:rPr>
          <w:color w:val="0088CC"/>
          <w:spacing w:val="60"/>
          <w:w w:val="90"/>
          <w:sz w:val="60"/>
          <w:szCs w:val="60"/>
          <w:u w:val="single"/>
          <w:lang w:val="bg-BG"/>
          <w14:shadow w14:blurRad="50800" w14:dist="38100" w14:dir="2700000" w14:sx="100000" w14:sy="100000" w14:kx="0" w14:ky="0" w14:algn="tl">
            <w14:srgbClr w14:val="000000">
              <w14:alpha w14:val="60000"/>
            </w14:srgbClr>
          </w14:shadow>
        </w:rPr>
      </w:pPr>
      <w:r w:rsidRPr="003D5468">
        <w:rPr>
          <w:color w:val="0088CC"/>
          <w:spacing w:val="60"/>
          <w:w w:val="90"/>
          <w:sz w:val="60"/>
          <w:szCs w:val="60"/>
          <w:u w:val="single"/>
          <w:lang w:val="bg-BG"/>
          <w14:shadow w14:blurRad="50800" w14:dist="38100" w14:dir="2700000" w14:sx="100000" w14:sy="100000" w14:kx="0" w14:ky="0" w14:algn="tl">
            <w14:srgbClr w14:val="000000">
              <w14:alpha w14:val="60000"/>
            </w14:srgbClr>
          </w14:shadow>
        </w:rPr>
        <w:t>СЪДЪРЖАНИЕ:</w:t>
      </w:r>
    </w:p>
    <w:p w:rsidR="00593E75" w:rsidRPr="003D5468" w:rsidRDefault="00593E75" w:rsidP="00B42C52">
      <w:pPr>
        <w:pStyle w:val="BodyTextIndent"/>
        <w:spacing w:after="120"/>
        <w:rPr>
          <w:rFonts w:ascii="Arial" w:hAnsi="Arial" w:cs="Arial"/>
          <w:sz w:val="26"/>
          <w:szCs w:val="26"/>
          <w:u w:val="single"/>
        </w:rPr>
      </w:pPr>
    </w:p>
    <w:p w:rsidR="009B762E" w:rsidRPr="003D5468" w:rsidRDefault="009B762E" w:rsidP="00B42C52">
      <w:pPr>
        <w:pStyle w:val="BodyTextIndent"/>
        <w:spacing w:after="120"/>
        <w:rPr>
          <w:rFonts w:ascii="Arial" w:hAnsi="Arial" w:cs="Arial"/>
          <w:sz w:val="26"/>
          <w:szCs w:val="26"/>
          <w:u w:val="single"/>
        </w:rPr>
      </w:pPr>
    </w:p>
    <w:p w:rsidR="003B0E56" w:rsidRPr="003D5468" w:rsidRDefault="003B0E56" w:rsidP="003B0E56"/>
    <w:p w:rsidR="007A3160" w:rsidRDefault="001A2DC3">
      <w:pPr>
        <w:pStyle w:val="TOC1"/>
        <w:rPr>
          <w:rFonts w:asciiTheme="minorHAnsi" w:eastAsiaTheme="minorEastAsia" w:hAnsiTheme="minorHAnsi" w:cstheme="minorBidi"/>
          <w:noProof/>
          <w:sz w:val="22"/>
          <w:szCs w:val="22"/>
          <w:lang w:val="en-US" w:eastAsia="en-US"/>
        </w:rPr>
      </w:pPr>
      <w:r w:rsidRPr="003D5468">
        <w:rPr>
          <w:szCs w:val="28"/>
        </w:rPr>
        <w:fldChar w:fldCharType="begin"/>
      </w:r>
      <w:r w:rsidRPr="003D5468">
        <w:rPr>
          <w:szCs w:val="28"/>
        </w:rPr>
        <w:instrText xml:space="preserve"> TOC \o "1-3" \h \z \u </w:instrText>
      </w:r>
      <w:r w:rsidRPr="003D5468">
        <w:rPr>
          <w:szCs w:val="28"/>
        </w:rPr>
        <w:fldChar w:fldCharType="separate"/>
      </w:r>
      <w:hyperlink w:anchor="_Toc40777288" w:history="1">
        <w:r w:rsidR="007A3160" w:rsidRPr="00866E8A">
          <w:rPr>
            <w:rStyle w:val="Hyperlink"/>
            <w:smallCaps/>
            <w:noProof/>
          </w:rPr>
          <w:t>I.</w:t>
        </w:r>
        <w:r w:rsidR="007A3160">
          <w:rPr>
            <w:rFonts w:asciiTheme="minorHAnsi" w:eastAsiaTheme="minorEastAsia" w:hAnsiTheme="minorHAnsi" w:cstheme="minorBidi"/>
            <w:noProof/>
            <w:sz w:val="22"/>
            <w:szCs w:val="22"/>
            <w:lang w:val="en-US" w:eastAsia="en-US"/>
          </w:rPr>
          <w:tab/>
        </w:r>
        <w:r w:rsidR="007A3160" w:rsidRPr="00866E8A">
          <w:rPr>
            <w:rStyle w:val="Hyperlink"/>
            <w:noProof/>
          </w:rPr>
          <w:t>АНАЛИЗ НА ОПЕРАТИВНАТА ДЕЙНОСТ</w:t>
        </w:r>
        <w:r w:rsidR="007A3160">
          <w:rPr>
            <w:noProof/>
            <w:webHidden/>
          </w:rPr>
          <w:tab/>
        </w:r>
        <w:r w:rsidR="007A3160">
          <w:rPr>
            <w:noProof/>
            <w:webHidden/>
          </w:rPr>
          <w:fldChar w:fldCharType="begin"/>
        </w:r>
        <w:r w:rsidR="007A3160">
          <w:rPr>
            <w:noProof/>
            <w:webHidden/>
          </w:rPr>
          <w:instrText xml:space="preserve"> PAGEREF _Toc40777288 \h </w:instrText>
        </w:r>
        <w:r w:rsidR="007A3160">
          <w:rPr>
            <w:noProof/>
            <w:webHidden/>
          </w:rPr>
        </w:r>
        <w:r w:rsidR="007A3160">
          <w:rPr>
            <w:noProof/>
            <w:webHidden/>
          </w:rPr>
          <w:fldChar w:fldCharType="separate"/>
        </w:r>
        <w:r w:rsidR="007A3160">
          <w:rPr>
            <w:noProof/>
            <w:webHidden/>
          </w:rPr>
          <w:t>2</w:t>
        </w:r>
        <w:r w:rsidR="007A3160">
          <w:rPr>
            <w:noProof/>
            <w:webHidden/>
          </w:rPr>
          <w:fldChar w:fldCharType="end"/>
        </w:r>
      </w:hyperlink>
    </w:p>
    <w:p w:rsidR="007A3160" w:rsidRDefault="000D51B7">
      <w:pPr>
        <w:pStyle w:val="TOC2"/>
        <w:tabs>
          <w:tab w:val="right" w:leader="dot" w:pos="9713"/>
        </w:tabs>
        <w:rPr>
          <w:rFonts w:asciiTheme="minorHAnsi" w:eastAsiaTheme="minorEastAsia" w:hAnsiTheme="minorHAnsi" w:cstheme="minorBidi"/>
          <w:noProof/>
          <w:sz w:val="22"/>
          <w:szCs w:val="22"/>
          <w:lang w:val="en-US" w:eastAsia="en-US"/>
        </w:rPr>
      </w:pPr>
      <w:hyperlink w:anchor="_Toc40777289" w:history="1">
        <w:r w:rsidR="007A3160" w:rsidRPr="00866E8A">
          <w:rPr>
            <w:rStyle w:val="Hyperlink"/>
            <w:i/>
            <w:noProof/>
          </w:rPr>
          <w:t xml:space="preserve">1) </w:t>
        </w:r>
        <w:r w:rsidR="007A3160" w:rsidRPr="00866E8A">
          <w:rPr>
            <w:rStyle w:val="Hyperlink"/>
            <w:i/>
            <w:smallCaps/>
            <w:noProof/>
          </w:rPr>
          <w:t>Анализ на товарооборота за</w:t>
        </w:r>
        <w:r w:rsidR="007A3160" w:rsidRPr="00866E8A">
          <w:rPr>
            <w:rStyle w:val="Hyperlink"/>
            <w:i/>
            <w:noProof/>
          </w:rPr>
          <w:t xml:space="preserve"> 20</w:t>
        </w:r>
        <w:r w:rsidR="007A3160" w:rsidRPr="00866E8A">
          <w:rPr>
            <w:rStyle w:val="Hyperlink"/>
            <w:i/>
            <w:noProof/>
            <w:lang w:val="ru-RU"/>
          </w:rPr>
          <w:t>1</w:t>
        </w:r>
        <w:r w:rsidR="007A3160" w:rsidRPr="00866E8A">
          <w:rPr>
            <w:rStyle w:val="Hyperlink"/>
            <w:i/>
            <w:noProof/>
            <w:lang w:val="en-US"/>
          </w:rPr>
          <w:t>9</w:t>
        </w:r>
        <w:r w:rsidR="007A3160" w:rsidRPr="00866E8A">
          <w:rPr>
            <w:rStyle w:val="Hyperlink"/>
            <w:i/>
            <w:noProof/>
          </w:rPr>
          <w:t xml:space="preserve"> г.</w:t>
        </w:r>
        <w:r w:rsidR="007A3160">
          <w:rPr>
            <w:noProof/>
            <w:webHidden/>
          </w:rPr>
          <w:tab/>
        </w:r>
        <w:r w:rsidR="007A3160">
          <w:rPr>
            <w:noProof/>
            <w:webHidden/>
          </w:rPr>
          <w:fldChar w:fldCharType="begin"/>
        </w:r>
        <w:r w:rsidR="007A3160">
          <w:rPr>
            <w:noProof/>
            <w:webHidden/>
          </w:rPr>
          <w:instrText xml:space="preserve"> PAGEREF _Toc40777289 \h </w:instrText>
        </w:r>
        <w:r w:rsidR="007A3160">
          <w:rPr>
            <w:noProof/>
            <w:webHidden/>
          </w:rPr>
        </w:r>
        <w:r w:rsidR="007A3160">
          <w:rPr>
            <w:noProof/>
            <w:webHidden/>
          </w:rPr>
          <w:fldChar w:fldCharType="separate"/>
        </w:r>
        <w:r w:rsidR="007A3160">
          <w:rPr>
            <w:noProof/>
            <w:webHidden/>
          </w:rPr>
          <w:t>2</w:t>
        </w:r>
        <w:r w:rsidR="007A3160">
          <w:rPr>
            <w:noProof/>
            <w:webHidden/>
          </w:rPr>
          <w:fldChar w:fldCharType="end"/>
        </w:r>
      </w:hyperlink>
    </w:p>
    <w:p w:rsidR="007A3160" w:rsidRDefault="000D51B7">
      <w:pPr>
        <w:pStyle w:val="TOC2"/>
        <w:tabs>
          <w:tab w:val="right" w:leader="dot" w:pos="9713"/>
        </w:tabs>
        <w:rPr>
          <w:rFonts w:asciiTheme="minorHAnsi" w:eastAsiaTheme="minorEastAsia" w:hAnsiTheme="minorHAnsi" w:cstheme="minorBidi"/>
          <w:noProof/>
          <w:sz w:val="22"/>
          <w:szCs w:val="22"/>
          <w:lang w:val="en-US" w:eastAsia="en-US"/>
        </w:rPr>
      </w:pPr>
      <w:hyperlink w:anchor="_Toc40777290" w:history="1">
        <w:r w:rsidR="007A3160" w:rsidRPr="00866E8A">
          <w:rPr>
            <w:rStyle w:val="Hyperlink"/>
            <w:i/>
            <w:noProof/>
          </w:rPr>
          <w:t xml:space="preserve">2) </w:t>
        </w:r>
        <w:r w:rsidR="007A3160" w:rsidRPr="00866E8A">
          <w:rPr>
            <w:rStyle w:val="Hyperlink"/>
            <w:i/>
            <w:smallCaps/>
            <w:noProof/>
          </w:rPr>
          <w:t>Капацитет и степен на натовареност на мощностите,</w:t>
        </w:r>
        <w:r w:rsidR="007A3160">
          <w:rPr>
            <w:noProof/>
            <w:webHidden/>
          </w:rPr>
          <w:tab/>
        </w:r>
        <w:r w:rsidR="007A3160">
          <w:rPr>
            <w:noProof/>
            <w:webHidden/>
          </w:rPr>
          <w:fldChar w:fldCharType="begin"/>
        </w:r>
        <w:r w:rsidR="007A3160">
          <w:rPr>
            <w:noProof/>
            <w:webHidden/>
          </w:rPr>
          <w:instrText xml:space="preserve"> PAGEREF _Toc40777290 \h </w:instrText>
        </w:r>
        <w:r w:rsidR="007A3160">
          <w:rPr>
            <w:noProof/>
            <w:webHidden/>
          </w:rPr>
        </w:r>
        <w:r w:rsidR="007A3160">
          <w:rPr>
            <w:noProof/>
            <w:webHidden/>
          </w:rPr>
          <w:fldChar w:fldCharType="separate"/>
        </w:r>
        <w:r w:rsidR="007A3160">
          <w:rPr>
            <w:noProof/>
            <w:webHidden/>
          </w:rPr>
          <w:t>5</w:t>
        </w:r>
        <w:r w:rsidR="007A3160">
          <w:rPr>
            <w:noProof/>
            <w:webHidden/>
          </w:rPr>
          <w:fldChar w:fldCharType="end"/>
        </w:r>
      </w:hyperlink>
    </w:p>
    <w:p w:rsidR="007A3160" w:rsidRDefault="000D51B7">
      <w:pPr>
        <w:pStyle w:val="TOC2"/>
        <w:tabs>
          <w:tab w:val="right" w:leader="dot" w:pos="9713"/>
        </w:tabs>
        <w:rPr>
          <w:rFonts w:asciiTheme="minorHAnsi" w:eastAsiaTheme="minorEastAsia" w:hAnsiTheme="minorHAnsi" w:cstheme="minorBidi"/>
          <w:noProof/>
          <w:sz w:val="22"/>
          <w:szCs w:val="22"/>
          <w:lang w:val="en-US" w:eastAsia="en-US"/>
        </w:rPr>
      </w:pPr>
      <w:hyperlink w:anchor="_Toc40777291" w:history="1">
        <w:r w:rsidR="007A3160" w:rsidRPr="00866E8A">
          <w:rPr>
            <w:rStyle w:val="Hyperlink"/>
            <w:i/>
            <w:smallCaps/>
            <w:noProof/>
          </w:rPr>
          <w:t>технологично проблемни места</w:t>
        </w:r>
        <w:r w:rsidR="007A3160">
          <w:rPr>
            <w:noProof/>
            <w:webHidden/>
          </w:rPr>
          <w:tab/>
        </w:r>
        <w:r w:rsidR="007A3160">
          <w:rPr>
            <w:noProof/>
            <w:webHidden/>
          </w:rPr>
          <w:fldChar w:fldCharType="begin"/>
        </w:r>
        <w:r w:rsidR="007A3160">
          <w:rPr>
            <w:noProof/>
            <w:webHidden/>
          </w:rPr>
          <w:instrText xml:space="preserve"> PAGEREF _Toc40777291 \h </w:instrText>
        </w:r>
        <w:r w:rsidR="007A3160">
          <w:rPr>
            <w:noProof/>
            <w:webHidden/>
          </w:rPr>
        </w:r>
        <w:r w:rsidR="007A3160">
          <w:rPr>
            <w:noProof/>
            <w:webHidden/>
          </w:rPr>
          <w:fldChar w:fldCharType="separate"/>
        </w:r>
        <w:r w:rsidR="007A3160">
          <w:rPr>
            <w:noProof/>
            <w:webHidden/>
          </w:rPr>
          <w:t>5</w:t>
        </w:r>
        <w:r w:rsidR="007A3160">
          <w:rPr>
            <w:noProof/>
            <w:webHidden/>
          </w:rPr>
          <w:fldChar w:fldCharType="end"/>
        </w:r>
      </w:hyperlink>
    </w:p>
    <w:p w:rsidR="007A3160" w:rsidRDefault="000D51B7">
      <w:pPr>
        <w:pStyle w:val="TOC2"/>
        <w:tabs>
          <w:tab w:val="right" w:leader="dot" w:pos="9713"/>
        </w:tabs>
        <w:rPr>
          <w:rFonts w:asciiTheme="minorHAnsi" w:eastAsiaTheme="minorEastAsia" w:hAnsiTheme="minorHAnsi" w:cstheme="minorBidi"/>
          <w:noProof/>
          <w:sz w:val="22"/>
          <w:szCs w:val="22"/>
          <w:lang w:val="en-US" w:eastAsia="en-US"/>
        </w:rPr>
      </w:pPr>
      <w:hyperlink w:anchor="_Toc40777292" w:history="1">
        <w:r w:rsidR="007A3160" w:rsidRPr="00866E8A">
          <w:rPr>
            <w:rStyle w:val="Hyperlink"/>
            <w:i/>
            <w:noProof/>
          </w:rPr>
          <w:t>Технологично проблемни места</w:t>
        </w:r>
        <w:r w:rsidR="007A3160">
          <w:rPr>
            <w:noProof/>
            <w:webHidden/>
          </w:rPr>
          <w:tab/>
        </w:r>
        <w:r w:rsidR="007A3160">
          <w:rPr>
            <w:noProof/>
            <w:webHidden/>
          </w:rPr>
          <w:fldChar w:fldCharType="begin"/>
        </w:r>
        <w:r w:rsidR="007A3160">
          <w:rPr>
            <w:noProof/>
            <w:webHidden/>
          </w:rPr>
          <w:instrText xml:space="preserve"> PAGEREF _Toc40777292 \h </w:instrText>
        </w:r>
        <w:r w:rsidR="007A3160">
          <w:rPr>
            <w:noProof/>
            <w:webHidden/>
          </w:rPr>
        </w:r>
        <w:r w:rsidR="007A3160">
          <w:rPr>
            <w:noProof/>
            <w:webHidden/>
          </w:rPr>
          <w:fldChar w:fldCharType="separate"/>
        </w:r>
        <w:r w:rsidR="007A3160">
          <w:rPr>
            <w:noProof/>
            <w:webHidden/>
          </w:rPr>
          <w:t>6</w:t>
        </w:r>
        <w:r w:rsidR="007A3160">
          <w:rPr>
            <w:noProof/>
            <w:webHidden/>
          </w:rPr>
          <w:fldChar w:fldCharType="end"/>
        </w:r>
      </w:hyperlink>
    </w:p>
    <w:p w:rsidR="007A3160" w:rsidRDefault="000D51B7">
      <w:pPr>
        <w:pStyle w:val="TOC2"/>
        <w:tabs>
          <w:tab w:val="right" w:leader="dot" w:pos="9713"/>
        </w:tabs>
        <w:rPr>
          <w:rFonts w:asciiTheme="minorHAnsi" w:eastAsiaTheme="minorEastAsia" w:hAnsiTheme="minorHAnsi" w:cstheme="minorBidi"/>
          <w:noProof/>
          <w:sz w:val="22"/>
          <w:szCs w:val="22"/>
          <w:lang w:val="en-US" w:eastAsia="en-US"/>
        </w:rPr>
      </w:pPr>
      <w:hyperlink w:anchor="_Toc40777293" w:history="1">
        <w:r w:rsidR="007A3160" w:rsidRPr="00866E8A">
          <w:rPr>
            <w:rStyle w:val="Hyperlink"/>
            <w:i/>
            <w:noProof/>
          </w:rPr>
          <w:t xml:space="preserve">3) </w:t>
        </w:r>
        <w:r w:rsidR="007A3160" w:rsidRPr="00866E8A">
          <w:rPr>
            <w:rStyle w:val="Hyperlink"/>
            <w:i/>
            <w:smallCaps/>
            <w:noProof/>
          </w:rPr>
          <w:t>Пазарен анализ – клиенти, доставчици, конкуренти,</w:t>
        </w:r>
        <w:r w:rsidR="007A3160">
          <w:rPr>
            <w:noProof/>
            <w:webHidden/>
          </w:rPr>
          <w:tab/>
        </w:r>
        <w:r w:rsidR="007A3160">
          <w:rPr>
            <w:noProof/>
            <w:webHidden/>
          </w:rPr>
          <w:fldChar w:fldCharType="begin"/>
        </w:r>
        <w:r w:rsidR="007A3160">
          <w:rPr>
            <w:noProof/>
            <w:webHidden/>
          </w:rPr>
          <w:instrText xml:space="preserve"> PAGEREF _Toc40777293 \h </w:instrText>
        </w:r>
        <w:r w:rsidR="007A3160">
          <w:rPr>
            <w:noProof/>
            <w:webHidden/>
          </w:rPr>
        </w:r>
        <w:r w:rsidR="007A3160">
          <w:rPr>
            <w:noProof/>
            <w:webHidden/>
          </w:rPr>
          <w:fldChar w:fldCharType="separate"/>
        </w:r>
        <w:r w:rsidR="007A3160">
          <w:rPr>
            <w:noProof/>
            <w:webHidden/>
          </w:rPr>
          <w:t>7</w:t>
        </w:r>
        <w:r w:rsidR="007A3160">
          <w:rPr>
            <w:noProof/>
            <w:webHidden/>
          </w:rPr>
          <w:fldChar w:fldCharType="end"/>
        </w:r>
      </w:hyperlink>
    </w:p>
    <w:p w:rsidR="007A3160" w:rsidRDefault="000D51B7">
      <w:pPr>
        <w:pStyle w:val="TOC2"/>
        <w:tabs>
          <w:tab w:val="right" w:leader="dot" w:pos="9713"/>
        </w:tabs>
        <w:rPr>
          <w:rFonts w:asciiTheme="minorHAnsi" w:eastAsiaTheme="minorEastAsia" w:hAnsiTheme="minorHAnsi" w:cstheme="minorBidi"/>
          <w:noProof/>
          <w:sz w:val="22"/>
          <w:szCs w:val="22"/>
          <w:lang w:val="en-US" w:eastAsia="en-US"/>
        </w:rPr>
      </w:pPr>
      <w:hyperlink w:anchor="_Toc40777294" w:history="1">
        <w:r w:rsidR="007A3160" w:rsidRPr="00866E8A">
          <w:rPr>
            <w:rStyle w:val="Hyperlink"/>
            <w:i/>
            <w:smallCaps/>
            <w:noProof/>
          </w:rPr>
          <w:t>маркетингова политика</w:t>
        </w:r>
        <w:r w:rsidR="007A3160">
          <w:rPr>
            <w:noProof/>
            <w:webHidden/>
          </w:rPr>
          <w:tab/>
        </w:r>
        <w:r w:rsidR="007A3160">
          <w:rPr>
            <w:noProof/>
            <w:webHidden/>
          </w:rPr>
          <w:fldChar w:fldCharType="begin"/>
        </w:r>
        <w:r w:rsidR="007A3160">
          <w:rPr>
            <w:noProof/>
            <w:webHidden/>
          </w:rPr>
          <w:instrText xml:space="preserve"> PAGEREF _Toc40777294 \h </w:instrText>
        </w:r>
        <w:r w:rsidR="007A3160">
          <w:rPr>
            <w:noProof/>
            <w:webHidden/>
          </w:rPr>
        </w:r>
        <w:r w:rsidR="007A3160">
          <w:rPr>
            <w:noProof/>
            <w:webHidden/>
          </w:rPr>
          <w:fldChar w:fldCharType="separate"/>
        </w:r>
        <w:r w:rsidR="007A3160">
          <w:rPr>
            <w:noProof/>
            <w:webHidden/>
          </w:rPr>
          <w:t>7</w:t>
        </w:r>
        <w:r w:rsidR="007A3160">
          <w:rPr>
            <w:noProof/>
            <w:webHidden/>
          </w:rPr>
          <w:fldChar w:fldCharType="end"/>
        </w:r>
      </w:hyperlink>
    </w:p>
    <w:p w:rsidR="007A3160" w:rsidRDefault="000D51B7">
      <w:pPr>
        <w:pStyle w:val="TOC2"/>
        <w:tabs>
          <w:tab w:val="right" w:leader="dot" w:pos="9713"/>
        </w:tabs>
        <w:rPr>
          <w:rFonts w:asciiTheme="minorHAnsi" w:eastAsiaTheme="minorEastAsia" w:hAnsiTheme="minorHAnsi" w:cstheme="minorBidi"/>
          <w:noProof/>
          <w:sz w:val="22"/>
          <w:szCs w:val="22"/>
          <w:lang w:val="en-US" w:eastAsia="en-US"/>
        </w:rPr>
      </w:pPr>
      <w:hyperlink w:anchor="_Toc40777295" w:history="1">
        <w:r w:rsidR="007A3160" w:rsidRPr="00866E8A">
          <w:rPr>
            <w:rStyle w:val="Hyperlink"/>
            <w:i/>
            <w:noProof/>
          </w:rPr>
          <w:t xml:space="preserve">4)  </w:t>
        </w:r>
        <w:r w:rsidR="007A3160" w:rsidRPr="00866E8A">
          <w:rPr>
            <w:rStyle w:val="Hyperlink"/>
            <w:i/>
            <w:smallCaps/>
            <w:noProof/>
          </w:rPr>
          <w:t>Изпълнение на инвестиционната програма</w:t>
        </w:r>
        <w:r w:rsidR="007A3160">
          <w:rPr>
            <w:noProof/>
            <w:webHidden/>
          </w:rPr>
          <w:tab/>
        </w:r>
        <w:r w:rsidR="007A3160">
          <w:rPr>
            <w:noProof/>
            <w:webHidden/>
          </w:rPr>
          <w:fldChar w:fldCharType="begin"/>
        </w:r>
        <w:r w:rsidR="007A3160">
          <w:rPr>
            <w:noProof/>
            <w:webHidden/>
          </w:rPr>
          <w:instrText xml:space="preserve"> PAGEREF _Toc40777295 \h </w:instrText>
        </w:r>
        <w:r w:rsidR="007A3160">
          <w:rPr>
            <w:noProof/>
            <w:webHidden/>
          </w:rPr>
        </w:r>
        <w:r w:rsidR="007A3160">
          <w:rPr>
            <w:noProof/>
            <w:webHidden/>
          </w:rPr>
          <w:fldChar w:fldCharType="separate"/>
        </w:r>
        <w:r w:rsidR="007A3160">
          <w:rPr>
            <w:noProof/>
            <w:webHidden/>
          </w:rPr>
          <w:t>10</w:t>
        </w:r>
        <w:r w:rsidR="007A3160">
          <w:rPr>
            <w:noProof/>
            <w:webHidden/>
          </w:rPr>
          <w:fldChar w:fldCharType="end"/>
        </w:r>
      </w:hyperlink>
    </w:p>
    <w:p w:rsidR="007A3160" w:rsidRDefault="000D51B7">
      <w:pPr>
        <w:pStyle w:val="TOC2"/>
        <w:tabs>
          <w:tab w:val="right" w:leader="dot" w:pos="9713"/>
        </w:tabs>
        <w:rPr>
          <w:rFonts w:asciiTheme="minorHAnsi" w:eastAsiaTheme="minorEastAsia" w:hAnsiTheme="minorHAnsi" w:cstheme="minorBidi"/>
          <w:noProof/>
          <w:sz w:val="22"/>
          <w:szCs w:val="22"/>
          <w:lang w:val="en-US" w:eastAsia="en-US"/>
        </w:rPr>
      </w:pPr>
      <w:hyperlink w:anchor="_Toc40777296" w:history="1">
        <w:r w:rsidR="007A3160" w:rsidRPr="00866E8A">
          <w:rPr>
            <w:rStyle w:val="Hyperlink"/>
            <w:i/>
            <w:iCs/>
            <w:smallCaps/>
            <w:noProof/>
          </w:rPr>
          <w:t>5) Основни проблеми и рискове през 2019 г.</w:t>
        </w:r>
        <w:r w:rsidR="007A3160">
          <w:rPr>
            <w:noProof/>
            <w:webHidden/>
          </w:rPr>
          <w:tab/>
        </w:r>
        <w:r w:rsidR="007A3160">
          <w:rPr>
            <w:noProof/>
            <w:webHidden/>
          </w:rPr>
          <w:fldChar w:fldCharType="begin"/>
        </w:r>
        <w:r w:rsidR="007A3160">
          <w:rPr>
            <w:noProof/>
            <w:webHidden/>
          </w:rPr>
          <w:instrText xml:space="preserve"> PAGEREF _Toc40777296 \h </w:instrText>
        </w:r>
        <w:r w:rsidR="007A3160">
          <w:rPr>
            <w:noProof/>
            <w:webHidden/>
          </w:rPr>
        </w:r>
        <w:r w:rsidR="007A3160">
          <w:rPr>
            <w:noProof/>
            <w:webHidden/>
          </w:rPr>
          <w:fldChar w:fldCharType="separate"/>
        </w:r>
        <w:r w:rsidR="007A3160">
          <w:rPr>
            <w:noProof/>
            <w:webHidden/>
          </w:rPr>
          <w:t>11</w:t>
        </w:r>
        <w:r w:rsidR="007A3160">
          <w:rPr>
            <w:noProof/>
            <w:webHidden/>
          </w:rPr>
          <w:fldChar w:fldCharType="end"/>
        </w:r>
      </w:hyperlink>
    </w:p>
    <w:p w:rsidR="007A3160" w:rsidRDefault="000D51B7">
      <w:pPr>
        <w:pStyle w:val="TOC1"/>
        <w:rPr>
          <w:rFonts w:asciiTheme="minorHAnsi" w:eastAsiaTheme="minorEastAsia" w:hAnsiTheme="minorHAnsi" w:cstheme="minorBidi"/>
          <w:noProof/>
          <w:sz w:val="22"/>
          <w:szCs w:val="22"/>
          <w:lang w:val="en-US" w:eastAsia="en-US"/>
        </w:rPr>
      </w:pPr>
      <w:hyperlink w:anchor="_Toc40777297" w:history="1">
        <w:r w:rsidR="007A3160" w:rsidRPr="00866E8A">
          <w:rPr>
            <w:rStyle w:val="Hyperlink"/>
            <w:noProof/>
          </w:rPr>
          <w:t>II.</w:t>
        </w:r>
        <w:r w:rsidR="007A3160">
          <w:rPr>
            <w:rFonts w:asciiTheme="minorHAnsi" w:eastAsiaTheme="minorEastAsia" w:hAnsiTheme="minorHAnsi" w:cstheme="minorBidi"/>
            <w:noProof/>
            <w:sz w:val="22"/>
            <w:szCs w:val="22"/>
            <w:lang w:val="en-US" w:eastAsia="en-US"/>
          </w:rPr>
          <w:tab/>
        </w:r>
        <w:r w:rsidR="007A3160" w:rsidRPr="00866E8A">
          <w:rPr>
            <w:rStyle w:val="Hyperlink"/>
            <w:noProof/>
          </w:rPr>
          <w:t>ФИНАНСОВ АНАЛИЗ</w:t>
        </w:r>
        <w:r w:rsidR="007A3160">
          <w:rPr>
            <w:noProof/>
            <w:webHidden/>
          </w:rPr>
          <w:tab/>
        </w:r>
        <w:r w:rsidR="007A3160">
          <w:rPr>
            <w:noProof/>
            <w:webHidden/>
          </w:rPr>
          <w:fldChar w:fldCharType="begin"/>
        </w:r>
        <w:r w:rsidR="007A3160">
          <w:rPr>
            <w:noProof/>
            <w:webHidden/>
          </w:rPr>
          <w:instrText xml:space="preserve"> PAGEREF _Toc40777297 \h </w:instrText>
        </w:r>
        <w:r w:rsidR="007A3160">
          <w:rPr>
            <w:noProof/>
            <w:webHidden/>
          </w:rPr>
        </w:r>
        <w:r w:rsidR="007A3160">
          <w:rPr>
            <w:noProof/>
            <w:webHidden/>
          </w:rPr>
          <w:fldChar w:fldCharType="separate"/>
        </w:r>
        <w:r w:rsidR="007A3160">
          <w:rPr>
            <w:noProof/>
            <w:webHidden/>
          </w:rPr>
          <w:t>12</w:t>
        </w:r>
        <w:r w:rsidR="007A3160">
          <w:rPr>
            <w:noProof/>
            <w:webHidden/>
          </w:rPr>
          <w:fldChar w:fldCharType="end"/>
        </w:r>
      </w:hyperlink>
    </w:p>
    <w:p w:rsidR="007A3160" w:rsidRDefault="000D51B7">
      <w:pPr>
        <w:pStyle w:val="TOC2"/>
        <w:tabs>
          <w:tab w:val="right" w:leader="dot" w:pos="9713"/>
        </w:tabs>
        <w:rPr>
          <w:rFonts w:asciiTheme="minorHAnsi" w:eastAsiaTheme="minorEastAsia" w:hAnsiTheme="minorHAnsi" w:cstheme="minorBidi"/>
          <w:noProof/>
          <w:sz w:val="22"/>
          <w:szCs w:val="22"/>
          <w:lang w:val="en-US" w:eastAsia="en-US"/>
        </w:rPr>
      </w:pPr>
      <w:hyperlink w:anchor="_Toc40777298" w:history="1">
        <w:r w:rsidR="007A3160" w:rsidRPr="00866E8A">
          <w:rPr>
            <w:rStyle w:val="Hyperlink"/>
            <w:smallCaps/>
            <w:noProof/>
          </w:rPr>
          <w:t xml:space="preserve">1) </w:t>
        </w:r>
        <w:r w:rsidR="007A3160" w:rsidRPr="00866E8A">
          <w:rPr>
            <w:rStyle w:val="Hyperlink"/>
            <w:i/>
            <w:smallCaps/>
            <w:noProof/>
          </w:rPr>
          <w:t>Финансови резултати от дейността</w:t>
        </w:r>
        <w:r w:rsidR="007A3160">
          <w:rPr>
            <w:noProof/>
            <w:webHidden/>
          </w:rPr>
          <w:tab/>
        </w:r>
        <w:r w:rsidR="007A3160">
          <w:rPr>
            <w:noProof/>
            <w:webHidden/>
          </w:rPr>
          <w:fldChar w:fldCharType="begin"/>
        </w:r>
        <w:r w:rsidR="007A3160">
          <w:rPr>
            <w:noProof/>
            <w:webHidden/>
          </w:rPr>
          <w:instrText xml:space="preserve"> PAGEREF _Toc40777298 \h </w:instrText>
        </w:r>
        <w:r w:rsidR="007A3160">
          <w:rPr>
            <w:noProof/>
            <w:webHidden/>
          </w:rPr>
        </w:r>
        <w:r w:rsidR="007A3160">
          <w:rPr>
            <w:noProof/>
            <w:webHidden/>
          </w:rPr>
          <w:fldChar w:fldCharType="separate"/>
        </w:r>
        <w:r w:rsidR="007A3160">
          <w:rPr>
            <w:noProof/>
            <w:webHidden/>
          </w:rPr>
          <w:t>12</w:t>
        </w:r>
        <w:r w:rsidR="007A3160">
          <w:rPr>
            <w:noProof/>
            <w:webHidden/>
          </w:rPr>
          <w:fldChar w:fldCharType="end"/>
        </w:r>
      </w:hyperlink>
    </w:p>
    <w:p w:rsidR="007A3160" w:rsidRDefault="000D51B7">
      <w:pPr>
        <w:pStyle w:val="TOC2"/>
        <w:tabs>
          <w:tab w:val="right" w:leader="dot" w:pos="9713"/>
        </w:tabs>
        <w:rPr>
          <w:rFonts w:asciiTheme="minorHAnsi" w:eastAsiaTheme="minorEastAsia" w:hAnsiTheme="minorHAnsi" w:cstheme="minorBidi"/>
          <w:noProof/>
          <w:sz w:val="22"/>
          <w:szCs w:val="22"/>
          <w:lang w:val="en-US" w:eastAsia="en-US"/>
        </w:rPr>
      </w:pPr>
      <w:hyperlink w:anchor="_Toc40777299" w:history="1">
        <w:r w:rsidR="007A3160" w:rsidRPr="00866E8A">
          <w:rPr>
            <w:rStyle w:val="Hyperlink"/>
            <w:i/>
            <w:noProof/>
          </w:rPr>
          <w:t>2</w:t>
        </w:r>
        <w:r w:rsidR="007A3160" w:rsidRPr="00866E8A">
          <w:rPr>
            <w:rStyle w:val="Hyperlink"/>
            <w:i/>
            <w:smallCaps/>
            <w:noProof/>
          </w:rPr>
          <w:t>) Финансови коефициенти</w:t>
        </w:r>
        <w:r w:rsidR="007A3160">
          <w:rPr>
            <w:noProof/>
            <w:webHidden/>
          </w:rPr>
          <w:tab/>
        </w:r>
        <w:r w:rsidR="007A3160">
          <w:rPr>
            <w:noProof/>
            <w:webHidden/>
          </w:rPr>
          <w:fldChar w:fldCharType="begin"/>
        </w:r>
        <w:r w:rsidR="007A3160">
          <w:rPr>
            <w:noProof/>
            <w:webHidden/>
          </w:rPr>
          <w:instrText xml:space="preserve"> PAGEREF _Toc40777299 \h </w:instrText>
        </w:r>
        <w:r w:rsidR="007A3160">
          <w:rPr>
            <w:noProof/>
            <w:webHidden/>
          </w:rPr>
        </w:r>
        <w:r w:rsidR="007A3160">
          <w:rPr>
            <w:noProof/>
            <w:webHidden/>
          </w:rPr>
          <w:fldChar w:fldCharType="separate"/>
        </w:r>
        <w:r w:rsidR="007A3160">
          <w:rPr>
            <w:noProof/>
            <w:webHidden/>
          </w:rPr>
          <w:t>13</w:t>
        </w:r>
        <w:r w:rsidR="007A3160">
          <w:rPr>
            <w:noProof/>
            <w:webHidden/>
          </w:rPr>
          <w:fldChar w:fldCharType="end"/>
        </w:r>
      </w:hyperlink>
    </w:p>
    <w:p w:rsidR="007A3160" w:rsidRDefault="000D51B7">
      <w:pPr>
        <w:pStyle w:val="TOC2"/>
        <w:tabs>
          <w:tab w:val="right" w:leader="dot" w:pos="9713"/>
        </w:tabs>
        <w:rPr>
          <w:rFonts w:asciiTheme="minorHAnsi" w:eastAsiaTheme="minorEastAsia" w:hAnsiTheme="minorHAnsi" w:cstheme="minorBidi"/>
          <w:noProof/>
          <w:sz w:val="22"/>
          <w:szCs w:val="22"/>
          <w:lang w:val="en-US" w:eastAsia="en-US"/>
        </w:rPr>
      </w:pPr>
      <w:hyperlink w:anchor="_Toc40777300" w:history="1">
        <w:r w:rsidR="007A3160" w:rsidRPr="00866E8A">
          <w:rPr>
            <w:rStyle w:val="Hyperlink"/>
            <w:i/>
            <w:smallCaps/>
            <w:noProof/>
          </w:rPr>
          <w:t>3) Финансов резултат,  основни видове приходи и разходи за дейността</w:t>
        </w:r>
        <w:r w:rsidR="007A3160">
          <w:rPr>
            <w:noProof/>
            <w:webHidden/>
          </w:rPr>
          <w:tab/>
        </w:r>
        <w:r w:rsidR="007A3160">
          <w:rPr>
            <w:noProof/>
            <w:webHidden/>
          </w:rPr>
          <w:fldChar w:fldCharType="begin"/>
        </w:r>
        <w:r w:rsidR="007A3160">
          <w:rPr>
            <w:noProof/>
            <w:webHidden/>
          </w:rPr>
          <w:instrText xml:space="preserve"> PAGEREF _Toc40777300 \h </w:instrText>
        </w:r>
        <w:r w:rsidR="007A3160">
          <w:rPr>
            <w:noProof/>
            <w:webHidden/>
          </w:rPr>
        </w:r>
        <w:r w:rsidR="007A3160">
          <w:rPr>
            <w:noProof/>
            <w:webHidden/>
          </w:rPr>
          <w:fldChar w:fldCharType="separate"/>
        </w:r>
        <w:r w:rsidR="007A3160">
          <w:rPr>
            <w:noProof/>
            <w:webHidden/>
          </w:rPr>
          <w:t>16</w:t>
        </w:r>
        <w:r w:rsidR="007A3160">
          <w:rPr>
            <w:noProof/>
            <w:webHidden/>
          </w:rPr>
          <w:fldChar w:fldCharType="end"/>
        </w:r>
      </w:hyperlink>
    </w:p>
    <w:p w:rsidR="007A3160" w:rsidRDefault="000D51B7">
      <w:pPr>
        <w:pStyle w:val="TOC2"/>
        <w:tabs>
          <w:tab w:val="right" w:leader="dot" w:pos="9713"/>
        </w:tabs>
        <w:rPr>
          <w:rFonts w:asciiTheme="minorHAnsi" w:eastAsiaTheme="minorEastAsia" w:hAnsiTheme="minorHAnsi" w:cstheme="minorBidi"/>
          <w:noProof/>
          <w:sz w:val="22"/>
          <w:szCs w:val="22"/>
          <w:lang w:val="en-US" w:eastAsia="en-US"/>
        </w:rPr>
      </w:pPr>
      <w:hyperlink w:anchor="_Toc40777301" w:history="1">
        <w:r w:rsidR="007A3160" w:rsidRPr="00866E8A">
          <w:rPr>
            <w:rStyle w:val="Hyperlink"/>
            <w:i/>
            <w:noProof/>
            <w:lang w:val="en-US"/>
          </w:rPr>
          <w:t>4</w:t>
        </w:r>
        <w:r w:rsidR="007A3160" w:rsidRPr="00866E8A">
          <w:rPr>
            <w:rStyle w:val="Hyperlink"/>
            <w:i/>
            <w:noProof/>
          </w:rPr>
          <w:t xml:space="preserve">) </w:t>
        </w:r>
        <w:r w:rsidR="007A3160" w:rsidRPr="00866E8A">
          <w:rPr>
            <w:rStyle w:val="Hyperlink"/>
            <w:i/>
            <w:smallCaps/>
            <w:noProof/>
          </w:rPr>
          <w:t>Приходи и разходи по основни видове дейности (Центрове на печалбата</w:t>
        </w:r>
        <w:r w:rsidR="007A3160" w:rsidRPr="00866E8A">
          <w:rPr>
            <w:rStyle w:val="Hyperlink"/>
            <w:i/>
            <w:noProof/>
          </w:rPr>
          <w:t>)</w:t>
        </w:r>
        <w:r w:rsidR="007A3160">
          <w:rPr>
            <w:noProof/>
            <w:webHidden/>
          </w:rPr>
          <w:tab/>
        </w:r>
        <w:r w:rsidR="007A3160">
          <w:rPr>
            <w:noProof/>
            <w:webHidden/>
          </w:rPr>
          <w:fldChar w:fldCharType="begin"/>
        </w:r>
        <w:r w:rsidR="007A3160">
          <w:rPr>
            <w:noProof/>
            <w:webHidden/>
          </w:rPr>
          <w:instrText xml:space="preserve"> PAGEREF _Toc40777301 \h </w:instrText>
        </w:r>
        <w:r w:rsidR="007A3160">
          <w:rPr>
            <w:noProof/>
            <w:webHidden/>
          </w:rPr>
        </w:r>
        <w:r w:rsidR="007A3160">
          <w:rPr>
            <w:noProof/>
            <w:webHidden/>
          </w:rPr>
          <w:fldChar w:fldCharType="separate"/>
        </w:r>
        <w:r w:rsidR="007A3160">
          <w:rPr>
            <w:noProof/>
            <w:webHidden/>
          </w:rPr>
          <w:t>18</w:t>
        </w:r>
        <w:r w:rsidR="007A3160">
          <w:rPr>
            <w:noProof/>
            <w:webHidden/>
          </w:rPr>
          <w:fldChar w:fldCharType="end"/>
        </w:r>
      </w:hyperlink>
    </w:p>
    <w:p w:rsidR="007A3160" w:rsidRDefault="000D51B7">
      <w:pPr>
        <w:pStyle w:val="TOC2"/>
        <w:tabs>
          <w:tab w:val="right" w:leader="dot" w:pos="9713"/>
        </w:tabs>
        <w:rPr>
          <w:rFonts w:asciiTheme="minorHAnsi" w:eastAsiaTheme="minorEastAsia" w:hAnsiTheme="minorHAnsi" w:cstheme="minorBidi"/>
          <w:noProof/>
          <w:sz w:val="22"/>
          <w:szCs w:val="22"/>
          <w:lang w:val="en-US" w:eastAsia="en-US"/>
        </w:rPr>
      </w:pPr>
      <w:hyperlink w:anchor="_Toc40777302" w:history="1">
        <w:r w:rsidR="007A3160" w:rsidRPr="00866E8A">
          <w:rPr>
            <w:rStyle w:val="Hyperlink"/>
            <w:i/>
            <w:noProof/>
          </w:rPr>
          <w:t xml:space="preserve">5) </w:t>
        </w:r>
        <w:r w:rsidR="007A3160" w:rsidRPr="00866E8A">
          <w:rPr>
            <w:rStyle w:val="Hyperlink"/>
            <w:i/>
            <w:smallCaps/>
            <w:noProof/>
          </w:rPr>
          <w:t>Анализ на финансовите приходи и разходи</w:t>
        </w:r>
        <w:r w:rsidR="007A3160">
          <w:rPr>
            <w:noProof/>
            <w:webHidden/>
          </w:rPr>
          <w:tab/>
        </w:r>
        <w:r w:rsidR="007A3160">
          <w:rPr>
            <w:noProof/>
            <w:webHidden/>
          </w:rPr>
          <w:fldChar w:fldCharType="begin"/>
        </w:r>
        <w:r w:rsidR="007A3160">
          <w:rPr>
            <w:noProof/>
            <w:webHidden/>
          </w:rPr>
          <w:instrText xml:space="preserve"> PAGEREF _Toc40777302 \h </w:instrText>
        </w:r>
        <w:r w:rsidR="007A3160">
          <w:rPr>
            <w:noProof/>
            <w:webHidden/>
          </w:rPr>
        </w:r>
        <w:r w:rsidR="007A3160">
          <w:rPr>
            <w:noProof/>
            <w:webHidden/>
          </w:rPr>
          <w:fldChar w:fldCharType="separate"/>
        </w:r>
        <w:r w:rsidR="007A3160">
          <w:rPr>
            <w:noProof/>
            <w:webHidden/>
          </w:rPr>
          <w:t>19</w:t>
        </w:r>
        <w:r w:rsidR="007A3160">
          <w:rPr>
            <w:noProof/>
            <w:webHidden/>
          </w:rPr>
          <w:fldChar w:fldCharType="end"/>
        </w:r>
      </w:hyperlink>
    </w:p>
    <w:p w:rsidR="007A3160" w:rsidRDefault="000D51B7">
      <w:pPr>
        <w:pStyle w:val="TOC2"/>
        <w:tabs>
          <w:tab w:val="right" w:leader="dot" w:pos="9713"/>
        </w:tabs>
        <w:rPr>
          <w:rFonts w:asciiTheme="minorHAnsi" w:eastAsiaTheme="minorEastAsia" w:hAnsiTheme="minorHAnsi" w:cstheme="minorBidi"/>
          <w:noProof/>
          <w:sz w:val="22"/>
          <w:szCs w:val="22"/>
          <w:lang w:val="en-US" w:eastAsia="en-US"/>
        </w:rPr>
      </w:pPr>
      <w:hyperlink w:anchor="_Toc40777303" w:history="1">
        <w:r w:rsidR="007A3160" w:rsidRPr="00866E8A">
          <w:rPr>
            <w:rStyle w:val="Hyperlink"/>
            <w:i/>
            <w:noProof/>
          </w:rPr>
          <w:t xml:space="preserve">6) </w:t>
        </w:r>
        <w:r w:rsidR="007A3160" w:rsidRPr="00866E8A">
          <w:rPr>
            <w:rStyle w:val="Hyperlink"/>
            <w:i/>
            <w:smallCaps/>
            <w:noProof/>
          </w:rPr>
          <w:t>Анализ на промените в Баланса на дружеството</w:t>
        </w:r>
        <w:r w:rsidR="007A3160">
          <w:rPr>
            <w:noProof/>
            <w:webHidden/>
          </w:rPr>
          <w:tab/>
        </w:r>
        <w:r w:rsidR="007A3160">
          <w:rPr>
            <w:noProof/>
            <w:webHidden/>
          </w:rPr>
          <w:fldChar w:fldCharType="begin"/>
        </w:r>
        <w:r w:rsidR="007A3160">
          <w:rPr>
            <w:noProof/>
            <w:webHidden/>
          </w:rPr>
          <w:instrText xml:space="preserve"> PAGEREF _Toc40777303 \h </w:instrText>
        </w:r>
        <w:r w:rsidR="007A3160">
          <w:rPr>
            <w:noProof/>
            <w:webHidden/>
          </w:rPr>
        </w:r>
        <w:r w:rsidR="007A3160">
          <w:rPr>
            <w:noProof/>
            <w:webHidden/>
          </w:rPr>
          <w:fldChar w:fldCharType="separate"/>
        </w:r>
        <w:r w:rsidR="007A3160">
          <w:rPr>
            <w:noProof/>
            <w:webHidden/>
          </w:rPr>
          <w:t>19</w:t>
        </w:r>
        <w:r w:rsidR="007A3160">
          <w:rPr>
            <w:noProof/>
            <w:webHidden/>
          </w:rPr>
          <w:fldChar w:fldCharType="end"/>
        </w:r>
      </w:hyperlink>
    </w:p>
    <w:p w:rsidR="007A3160" w:rsidRPr="007A3160" w:rsidRDefault="000D51B7">
      <w:pPr>
        <w:pStyle w:val="TOC3"/>
        <w:rPr>
          <w:rFonts w:asciiTheme="minorHAnsi" w:eastAsiaTheme="minorEastAsia" w:hAnsiTheme="minorHAnsi" w:cstheme="minorBidi"/>
          <w:i/>
          <w:smallCaps/>
          <w:noProof/>
          <w:sz w:val="22"/>
          <w:szCs w:val="22"/>
          <w:lang w:val="en-US" w:eastAsia="en-US"/>
        </w:rPr>
      </w:pPr>
      <w:hyperlink w:anchor="_Toc40777304" w:history="1">
        <w:r w:rsidR="007A3160" w:rsidRPr="007A3160">
          <w:rPr>
            <w:rStyle w:val="Hyperlink"/>
            <w:i/>
            <w:smallCaps/>
            <w:noProof/>
          </w:rPr>
          <w:t>6.1. Актив</w:t>
        </w:r>
        <w:r w:rsidR="007A3160" w:rsidRPr="007A3160">
          <w:rPr>
            <w:i/>
            <w:smallCaps/>
            <w:noProof/>
            <w:webHidden/>
          </w:rPr>
          <w:tab/>
        </w:r>
        <w:r w:rsidR="007A3160" w:rsidRPr="007A3160">
          <w:rPr>
            <w:i/>
            <w:smallCaps/>
            <w:noProof/>
            <w:webHidden/>
          </w:rPr>
          <w:fldChar w:fldCharType="begin"/>
        </w:r>
        <w:r w:rsidR="007A3160" w:rsidRPr="007A3160">
          <w:rPr>
            <w:i/>
            <w:smallCaps/>
            <w:noProof/>
            <w:webHidden/>
          </w:rPr>
          <w:instrText xml:space="preserve"> PAGEREF _Toc40777304 \h </w:instrText>
        </w:r>
        <w:r w:rsidR="007A3160" w:rsidRPr="007A3160">
          <w:rPr>
            <w:i/>
            <w:smallCaps/>
            <w:noProof/>
            <w:webHidden/>
          </w:rPr>
        </w:r>
        <w:r w:rsidR="007A3160" w:rsidRPr="007A3160">
          <w:rPr>
            <w:i/>
            <w:smallCaps/>
            <w:noProof/>
            <w:webHidden/>
          </w:rPr>
          <w:fldChar w:fldCharType="separate"/>
        </w:r>
        <w:r w:rsidR="007A3160" w:rsidRPr="007A3160">
          <w:rPr>
            <w:i/>
            <w:smallCaps/>
            <w:noProof/>
            <w:webHidden/>
          </w:rPr>
          <w:t>19</w:t>
        </w:r>
        <w:r w:rsidR="007A3160" w:rsidRPr="007A3160">
          <w:rPr>
            <w:i/>
            <w:smallCaps/>
            <w:noProof/>
            <w:webHidden/>
          </w:rPr>
          <w:fldChar w:fldCharType="end"/>
        </w:r>
      </w:hyperlink>
    </w:p>
    <w:p w:rsidR="007A3160" w:rsidRPr="007A3160" w:rsidRDefault="000D51B7">
      <w:pPr>
        <w:pStyle w:val="TOC3"/>
        <w:rPr>
          <w:rFonts w:asciiTheme="minorHAnsi" w:eastAsiaTheme="minorEastAsia" w:hAnsiTheme="minorHAnsi" w:cstheme="minorBidi"/>
          <w:i/>
          <w:smallCaps/>
          <w:noProof/>
          <w:sz w:val="22"/>
          <w:szCs w:val="22"/>
          <w:lang w:val="en-US" w:eastAsia="en-US"/>
        </w:rPr>
      </w:pPr>
      <w:hyperlink w:anchor="_Toc40777305" w:history="1">
        <w:r w:rsidR="007A3160" w:rsidRPr="007A3160">
          <w:rPr>
            <w:rStyle w:val="Hyperlink"/>
            <w:i/>
            <w:smallCaps/>
            <w:noProof/>
          </w:rPr>
          <w:t>6.2. По-големи вземания от клиенти и доставчици</w:t>
        </w:r>
        <w:r w:rsidR="007A3160" w:rsidRPr="007A3160">
          <w:rPr>
            <w:i/>
            <w:smallCaps/>
            <w:noProof/>
            <w:webHidden/>
          </w:rPr>
          <w:tab/>
        </w:r>
        <w:r w:rsidR="007A3160" w:rsidRPr="007A3160">
          <w:rPr>
            <w:i/>
            <w:smallCaps/>
            <w:noProof/>
            <w:webHidden/>
          </w:rPr>
          <w:fldChar w:fldCharType="begin"/>
        </w:r>
        <w:r w:rsidR="007A3160" w:rsidRPr="007A3160">
          <w:rPr>
            <w:i/>
            <w:smallCaps/>
            <w:noProof/>
            <w:webHidden/>
          </w:rPr>
          <w:instrText xml:space="preserve"> PAGEREF _Toc40777305 \h </w:instrText>
        </w:r>
        <w:r w:rsidR="007A3160" w:rsidRPr="007A3160">
          <w:rPr>
            <w:i/>
            <w:smallCaps/>
            <w:noProof/>
            <w:webHidden/>
          </w:rPr>
        </w:r>
        <w:r w:rsidR="007A3160" w:rsidRPr="007A3160">
          <w:rPr>
            <w:i/>
            <w:smallCaps/>
            <w:noProof/>
            <w:webHidden/>
          </w:rPr>
          <w:fldChar w:fldCharType="separate"/>
        </w:r>
        <w:r w:rsidR="007A3160" w:rsidRPr="007A3160">
          <w:rPr>
            <w:i/>
            <w:smallCaps/>
            <w:noProof/>
            <w:webHidden/>
          </w:rPr>
          <w:t>21</w:t>
        </w:r>
        <w:r w:rsidR="007A3160" w:rsidRPr="007A3160">
          <w:rPr>
            <w:i/>
            <w:smallCaps/>
            <w:noProof/>
            <w:webHidden/>
          </w:rPr>
          <w:fldChar w:fldCharType="end"/>
        </w:r>
      </w:hyperlink>
    </w:p>
    <w:p w:rsidR="007A3160" w:rsidRPr="007A3160" w:rsidRDefault="000D51B7">
      <w:pPr>
        <w:pStyle w:val="TOC3"/>
        <w:rPr>
          <w:rFonts w:asciiTheme="minorHAnsi" w:eastAsiaTheme="minorEastAsia" w:hAnsiTheme="minorHAnsi" w:cstheme="minorBidi"/>
          <w:i/>
          <w:smallCaps/>
          <w:noProof/>
          <w:sz w:val="22"/>
          <w:szCs w:val="22"/>
          <w:lang w:val="en-US" w:eastAsia="en-US"/>
        </w:rPr>
      </w:pPr>
      <w:hyperlink w:anchor="_Toc40777306" w:history="1">
        <w:r w:rsidR="007A3160" w:rsidRPr="007A3160">
          <w:rPr>
            <w:rStyle w:val="Hyperlink"/>
            <w:i/>
            <w:smallCaps/>
            <w:noProof/>
          </w:rPr>
          <w:t>6.3. Пасив</w:t>
        </w:r>
        <w:r w:rsidR="007A3160" w:rsidRPr="007A3160">
          <w:rPr>
            <w:i/>
            <w:smallCaps/>
            <w:noProof/>
            <w:webHidden/>
          </w:rPr>
          <w:tab/>
        </w:r>
        <w:r w:rsidR="007A3160" w:rsidRPr="007A3160">
          <w:rPr>
            <w:i/>
            <w:smallCaps/>
            <w:noProof/>
            <w:webHidden/>
          </w:rPr>
          <w:fldChar w:fldCharType="begin"/>
        </w:r>
        <w:r w:rsidR="007A3160" w:rsidRPr="007A3160">
          <w:rPr>
            <w:i/>
            <w:smallCaps/>
            <w:noProof/>
            <w:webHidden/>
          </w:rPr>
          <w:instrText xml:space="preserve"> PAGEREF _Toc40777306 \h </w:instrText>
        </w:r>
        <w:r w:rsidR="007A3160" w:rsidRPr="007A3160">
          <w:rPr>
            <w:i/>
            <w:smallCaps/>
            <w:noProof/>
            <w:webHidden/>
          </w:rPr>
        </w:r>
        <w:r w:rsidR="007A3160" w:rsidRPr="007A3160">
          <w:rPr>
            <w:i/>
            <w:smallCaps/>
            <w:noProof/>
            <w:webHidden/>
          </w:rPr>
          <w:fldChar w:fldCharType="separate"/>
        </w:r>
        <w:r w:rsidR="007A3160" w:rsidRPr="007A3160">
          <w:rPr>
            <w:i/>
            <w:smallCaps/>
            <w:noProof/>
            <w:webHidden/>
          </w:rPr>
          <w:t>22</w:t>
        </w:r>
        <w:r w:rsidR="007A3160" w:rsidRPr="007A3160">
          <w:rPr>
            <w:i/>
            <w:smallCaps/>
            <w:noProof/>
            <w:webHidden/>
          </w:rPr>
          <w:fldChar w:fldCharType="end"/>
        </w:r>
      </w:hyperlink>
    </w:p>
    <w:p w:rsidR="007A3160" w:rsidRPr="007A3160" w:rsidRDefault="000D51B7">
      <w:pPr>
        <w:pStyle w:val="TOC3"/>
        <w:rPr>
          <w:rFonts w:asciiTheme="minorHAnsi" w:eastAsiaTheme="minorEastAsia" w:hAnsiTheme="minorHAnsi" w:cstheme="minorBidi"/>
          <w:i/>
          <w:smallCaps/>
          <w:noProof/>
          <w:sz w:val="22"/>
          <w:szCs w:val="22"/>
          <w:lang w:val="en-US" w:eastAsia="en-US"/>
        </w:rPr>
      </w:pPr>
      <w:hyperlink w:anchor="_Toc40777307" w:history="1">
        <w:r w:rsidR="007A3160" w:rsidRPr="007A3160">
          <w:rPr>
            <w:rStyle w:val="Hyperlink"/>
            <w:i/>
            <w:smallCaps/>
            <w:noProof/>
          </w:rPr>
          <w:t>6.4. По-големи задължения към клиенти и доставчици</w:t>
        </w:r>
        <w:r w:rsidR="007A3160" w:rsidRPr="007A3160">
          <w:rPr>
            <w:i/>
            <w:smallCaps/>
            <w:noProof/>
            <w:webHidden/>
          </w:rPr>
          <w:tab/>
        </w:r>
        <w:r w:rsidR="007A3160" w:rsidRPr="007A3160">
          <w:rPr>
            <w:i/>
            <w:smallCaps/>
            <w:noProof/>
            <w:webHidden/>
          </w:rPr>
          <w:fldChar w:fldCharType="begin"/>
        </w:r>
        <w:r w:rsidR="007A3160" w:rsidRPr="007A3160">
          <w:rPr>
            <w:i/>
            <w:smallCaps/>
            <w:noProof/>
            <w:webHidden/>
          </w:rPr>
          <w:instrText xml:space="preserve"> PAGEREF _Toc40777307 \h </w:instrText>
        </w:r>
        <w:r w:rsidR="007A3160" w:rsidRPr="007A3160">
          <w:rPr>
            <w:i/>
            <w:smallCaps/>
            <w:noProof/>
            <w:webHidden/>
          </w:rPr>
        </w:r>
        <w:r w:rsidR="007A3160" w:rsidRPr="007A3160">
          <w:rPr>
            <w:i/>
            <w:smallCaps/>
            <w:noProof/>
            <w:webHidden/>
          </w:rPr>
          <w:fldChar w:fldCharType="separate"/>
        </w:r>
        <w:r w:rsidR="007A3160" w:rsidRPr="007A3160">
          <w:rPr>
            <w:i/>
            <w:smallCaps/>
            <w:noProof/>
            <w:webHidden/>
          </w:rPr>
          <w:t>23</w:t>
        </w:r>
        <w:r w:rsidR="007A3160" w:rsidRPr="007A3160">
          <w:rPr>
            <w:i/>
            <w:smallCaps/>
            <w:noProof/>
            <w:webHidden/>
          </w:rPr>
          <w:fldChar w:fldCharType="end"/>
        </w:r>
      </w:hyperlink>
    </w:p>
    <w:p w:rsidR="007A3160" w:rsidRDefault="000D51B7">
      <w:pPr>
        <w:pStyle w:val="TOC1"/>
        <w:rPr>
          <w:rFonts w:asciiTheme="minorHAnsi" w:eastAsiaTheme="minorEastAsia" w:hAnsiTheme="minorHAnsi" w:cstheme="minorBidi"/>
          <w:noProof/>
          <w:sz w:val="22"/>
          <w:szCs w:val="22"/>
          <w:lang w:val="en-US" w:eastAsia="en-US"/>
        </w:rPr>
      </w:pPr>
      <w:hyperlink w:anchor="_Toc40777308" w:history="1">
        <w:r w:rsidR="007A3160" w:rsidRPr="00866E8A">
          <w:rPr>
            <w:rStyle w:val="Hyperlink"/>
            <w:noProof/>
          </w:rPr>
          <w:t>III.</w:t>
        </w:r>
        <w:r w:rsidR="007A3160">
          <w:rPr>
            <w:rFonts w:asciiTheme="minorHAnsi" w:eastAsiaTheme="minorEastAsia" w:hAnsiTheme="minorHAnsi" w:cstheme="minorBidi"/>
            <w:noProof/>
            <w:sz w:val="22"/>
            <w:szCs w:val="22"/>
            <w:lang w:val="en-US" w:eastAsia="en-US"/>
          </w:rPr>
          <w:tab/>
        </w:r>
        <w:r w:rsidR="007A3160" w:rsidRPr="00866E8A">
          <w:rPr>
            <w:rStyle w:val="Hyperlink"/>
            <w:noProof/>
          </w:rPr>
          <w:t>ПАЗАРНИ ПЕРСПЕКТИВИ ЗА 2019 г.</w:t>
        </w:r>
        <w:r w:rsidR="007A3160">
          <w:rPr>
            <w:noProof/>
            <w:webHidden/>
          </w:rPr>
          <w:tab/>
        </w:r>
        <w:r w:rsidR="007A3160">
          <w:rPr>
            <w:noProof/>
            <w:webHidden/>
          </w:rPr>
          <w:fldChar w:fldCharType="begin"/>
        </w:r>
        <w:r w:rsidR="007A3160">
          <w:rPr>
            <w:noProof/>
            <w:webHidden/>
          </w:rPr>
          <w:instrText xml:space="preserve"> PAGEREF _Toc40777308 \h </w:instrText>
        </w:r>
        <w:r w:rsidR="007A3160">
          <w:rPr>
            <w:noProof/>
            <w:webHidden/>
          </w:rPr>
        </w:r>
        <w:r w:rsidR="007A3160">
          <w:rPr>
            <w:noProof/>
            <w:webHidden/>
          </w:rPr>
          <w:fldChar w:fldCharType="separate"/>
        </w:r>
        <w:r w:rsidR="007A3160">
          <w:rPr>
            <w:noProof/>
            <w:webHidden/>
          </w:rPr>
          <w:t>24</w:t>
        </w:r>
        <w:r w:rsidR="007A3160">
          <w:rPr>
            <w:noProof/>
            <w:webHidden/>
          </w:rPr>
          <w:fldChar w:fldCharType="end"/>
        </w:r>
      </w:hyperlink>
    </w:p>
    <w:p w:rsidR="001A2DC3" w:rsidRPr="003D5468" w:rsidRDefault="001A2DC3" w:rsidP="00D43CF8">
      <w:pPr>
        <w:spacing w:line="276" w:lineRule="auto"/>
        <w:rPr>
          <w:sz w:val="26"/>
          <w:szCs w:val="26"/>
        </w:rPr>
      </w:pPr>
      <w:r w:rsidRPr="003D5468">
        <w:rPr>
          <w:b/>
          <w:bCs/>
          <w:noProof/>
          <w:szCs w:val="28"/>
        </w:rPr>
        <w:fldChar w:fldCharType="end"/>
      </w:r>
    </w:p>
    <w:p w:rsidR="003B0E56" w:rsidRPr="003D5468" w:rsidRDefault="003B0E56" w:rsidP="009B762E">
      <w:pPr>
        <w:spacing w:line="276" w:lineRule="auto"/>
        <w:jc w:val="both"/>
        <w:rPr>
          <w:sz w:val="26"/>
          <w:szCs w:val="26"/>
        </w:rPr>
      </w:pPr>
    </w:p>
    <w:p w:rsidR="003B0E56" w:rsidRPr="003D5468" w:rsidRDefault="003B0E56" w:rsidP="009B762E">
      <w:pPr>
        <w:spacing w:line="276" w:lineRule="auto"/>
        <w:ind w:firstLine="284"/>
        <w:jc w:val="both"/>
        <w:rPr>
          <w:sz w:val="26"/>
          <w:szCs w:val="26"/>
        </w:rPr>
      </w:pPr>
    </w:p>
    <w:p w:rsidR="003B0E56" w:rsidRPr="003D5468" w:rsidRDefault="003B0E56" w:rsidP="009B762E">
      <w:pPr>
        <w:spacing w:line="276" w:lineRule="auto"/>
        <w:ind w:firstLine="284"/>
        <w:jc w:val="both"/>
        <w:rPr>
          <w:sz w:val="26"/>
          <w:szCs w:val="26"/>
        </w:rPr>
      </w:pPr>
    </w:p>
    <w:p w:rsidR="003B0E56" w:rsidRPr="003D5468" w:rsidRDefault="003B0E56" w:rsidP="009B762E">
      <w:pPr>
        <w:spacing w:line="276" w:lineRule="auto"/>
        <w:ind w:firstLine="284"/>
        <w:jc w:val="both"/>
        <w:rPr>
          <w:sz w:val="26"/>
          <w:szCs w:val="26"/>
        </w:rPr>
      </w:pPr>
    </w:p>
    <w:p w:rsidR="00FF57E5" w:rsidRPr="003D5468" w:rsidRDefault="00FF57E5" w:rsidP="009B762E">
      <w:pPr>
        <w:pStyle w:val="BodyTextIndent"/>
        <w:spacing w:after="120" w:line="276" w:lineRule="auto"/>
        <w:rPr>
          <w:rFonts w:ascii="Arial" w:hAnsi="Arial" w:cs="Arial"/>
          <w:sz w:val="26"/>
          <w:szCs w:val="26"/>
          <w:u w:val="single"/>
        </w:rPr>
      </w:pPr>
    </w:p>
    <w:p w:rsidR="009E108A" w:rsidRPr="003D5468" w:rsidRDefault="009E108A" w:rsidP="009B762E">
      <w:pPr>
        <w:pStyle w:val="BodyTextIndent"/>
        <w:spacing w:after="120" w:line="276" w:lineRule="auto"/>
        <w:rPr>
          <w:rFonts w:ascii="Arial" w:hAnsi="Arial" w:cs="Arial"/>
          <w:sz w:val="26"/>
          <w:szCs w:val="26"/>
          <w:u w:val="single"/>
        </w:rPr>
      </w:pPr>
    </w:p>
    <w:p w:rsidR="009E108A" w:rsidRPr="003D5468" w:rsidRDefault="009E108A" w:rsidP="009B762E">
      <w:pPr>
        <w:pStyle w:val="BodyTextIndent"/>
        <w:spacing w:after="120" w:line="276" w:lineRule="auto"/>
        <w:rPr>
          <w:rFonts w:ascii="Arial" w:hAnsi="Arial" w:cs="Arial"/>
          <w:sz w:val="26"/>
          <w:szCs w:val="26"/>
          <w:u w:val="single"/>
        </w:rPr>
      </w:pPr>
    </w:p>
    <w:p w:rsidR="009E108A" w:rsidRPr="003D5468" w:rsidRDefault="009E108A" w:rsidP="009B762E">
      <w:pPr>
        <w:pStyle w:val="BodyTextIndent"/>
        <w:spacing w:after="120" w:line="276" w:lineRule="auto"/>
        <w:rPr>
          <w:rFonts w:ascii="Arial" w:hAnsi="Arial" w:cs="Arial"/>
          <w:sz w:val="26"/>
          <w:szCs w:val="26"/>
          <w:u w:val="single"/>
        </w:rPr>
      </w:pPr>
    </w:p>
    <w:p w:rsidR="009E108A" w:rsidRPr="003D5468" w:rsidRDefault="009E108A" w:rsidP="009B762E">
      <w:pPr>
        <w:pStyle w:val="BodyTextIndent"/>
        <w:spacing w:after="120" w:line="276" w:lineRule="auto"/>
        <w:rPr>
          <w:rFonts w:ascii="Arial" w:hAnsi="Arial" w:cs="Arial"/>
          <w:sz w:val="26"/>
          <w:szCs w:val="26"/>
          <w:u w:val="single"/>
        </w:rPr>
      </w:pPr>
    </w:p>
    <w:p w:rsidR="00600A3B" w:rsidRPr="003D5468" w:rsidRDefault="00F73A77" w:rsidP="00DD76F5">
      <w:pPr>
        <w:pStyle w:val="Heading1"/>
        <w:numPr>
          <w:ilvl w:val="0"/>
          <w:numId w:val="2"/>
        </w:numPr>
        <w:spacing w:after="120"/>
        <w:ind w:left="714" w:hanging="357"/>
        <w:jc w:val="center"/>
        <w:rPr>
          <w:rFonts w:ascii="Times New Roman" w:hAnsi="Times New Roman"/>
          <w:smallCaps/>
          <w:sz w:val="28"/>
          <w:szCs w:val="28"/>
        </w:rPr>
      </w:pPr>
      <w:bookmarkStart w:id="3" w:name="_Toc288478107"/>
      <w:bookmarkStart w:id="4" w:name="_Toc40777288"/>
      <w:r w:rsidRPr="003D5468">
        <w:rPr>
          <w:rFonts w:ascii="Times New Roman" w:hAnsi="Times New Roman"/>
          <w:sz w:val="28"/>
          <w:szCs w:val="28"/>
        </w:rPr>
        <w:lastRenderedPageBreak/>
        <w:t>АНАЛИЗ НА ОПЕРАТИВНАТА ДЕЙНОСТ</w:t>
      </w:r>
      <w:bookmarkEnd w:id="3"/>
      <w:bookmarkEnd w:id="4"/>
    </w:p>
    <w:p w:rsidR="00F73A77" w:rsidRPr="003D5468" w:rsidRDefault="00E409FD" w:rsidP="00DD76F5">
      <w:pPr>
        <w:pStyle w:val="Heading2"/>
        <w:numPr>
          <w:ilvl w:val="1"/>
          <w:numId w:val="2"/>
        </w:numPr>
        <w:spacing w:after="120"/>
        <w:rPr>
          <w:rFonts w:ascii="Times New Roman" w:hAnsi="Times New Roman"/>
          <w:i/>
          <w:sz w:val="24"/>
          <w:u w:val="single"/>
        </w:rPr>
      </w:pPr>
      <w:bookmarkStart w:id="5" w:name="_Toc288478108"/>
      <w:bookmarkStart w:id="6" w:name="_Toc40777289"/>
      <w:r w:rsidRPr="003D5468">
        <w:rPr>
          <w:rFonts w:ascii="Times New Roman" w:hAnsi="Times New Roman"/>
          <w:i/>
          <w:sz w:val="24"/>
          <w:u w:val="single"/>
        </w:rPr>
        <w:t xml:space="preserve">1) </w:t>
      </w:r>
      <w:r w:rsidR="00F73A77" w:rsidRPr="003D5468">
        <w:rPr>
          <w:rFonts w:ascii="Times New Roman" w:hAnsi="Times New Roman"/>
          <w:i/>
          <w:smallCaps/>
          <w:sz w:val="24"/>
          <w:u w:val="single"/>
        </w:rPr>
        <w:t>Анализ на товарооборота за</w:t>
      </w:r>
      <w:r w:rsidR="00F73A77" w:rsidRPr="003D5468">
        <w:rPr>
          <w:rFonts w:ascii="Times New Roman" w:hAnsi="Times New Roman"/>
          <w:i/>
          <w:sz w:val="24"/>
          <w:u w:val="single"/>
        </w:rPr>
        <w:t xml:space="preserve"> </w:t>
      </w:r>
      <w:r w:rsidR="00F73A77" w:rsidRPr="007A6EA0">
        <w:rPr>
          <w:rFonts w:ascii="Times New Roman" w:hAnsi="Times New Roman"/>
          <w:i/>
          <w:sz w:val="24"/>
          <w:u w:val="single"/>
        </w:rPr>
        <w:t>20</w:t>
      </w:r>
      <w:r w:rsidR="00F840A3" w:rsidRPr="007A6EA0">
        <w:rPr>
          <w:rFonts w:ascii="Times New Roman" w:hAnsi="Times New Roman"/>
          <w:i/>
          <w:sz w:val="24"/>
          <w:u w:val="single"/>
          <w:lang w:val="ru-RU"/>
        </w:rPr>
        <w:t>1</w:t>
      </w:r>
      <w:r w:rsidR="001A7E2D" w:rsidRPr="007A6EA0">
        <w:rPr>
          <w:rFonts w:ascii="Times New Roman" w:hAnsi="Times New Roman"/>
          <w:i/>
          <w:sz w:val="24"/>
          <w:u w:val="single"/>
          <w:lang w:val="en-US"/>
        </w:rPr>
        <w:t>9</w:t>
      </w:r>
      <w:r w:rsidR="00F73A77" w:rsidRPr="007A6EA0">
        <w:rPr>
          <w:rFonts w:ascii="Times New Roman" w:hAnsi="Times New Roman"/>
          <w:i/>
          <w:sz w:val="24"/>
          <w:u w:val="single"/>
        </w:rPr>
        <w:t xml:space="preserve"> г</w:t>
      </w:r>
      <w:r w:rsidR="00F73A77" w:rsidRPr="003D5468">
        <w:rPr>
          <w:rFonts w:ascii="Times New Roman" w:hAnsi="Times New Roman"/>
          <w:i/>
          <w:sz w:val="24"/>
          <w:u w:val="single"/>
        </w:rPr>
        <w:t>.</w:t>
      </w:r>
      <w:bookmarkEnd w:id="5"/>
      <w:bookmarkEnd w:id="6"/>
    </w:p>
    <w:p w:rsidR="00C41F86" w:rsidRPr="003D5468" w:rsidRDefault="001A7E2D" w:rsidP="00443E7E">
      <w:pPr>
        <w:pStyle w:val="NormalWeb"/>
        <w:spacing w:after="120" w:afterAutospacing="0"/>
        <w:ind w:firstLine="720"/>
        <w:jc w:val="both"/>
      </w:pPr>
      <w:bookmarkStart w:id="7" w:name="_Hlk506991401"/>
      <w:r w:rsidRPr="0013344D">
        <w:t>Товарооборотът за 201</w:t>
      </w:r>
      <w:r w:rsidRPr="0013344D">
        <w:rPr>
          <w:lang w:val="en-US"/>
        </w:rPr>
        <w:t>9</w:t>
      </w:r>
      <w:r w:rsidRPr="0013344D">
        <w:t xml:space="preserve"> г. възлиза на </w:t>
      </w:r>
      <w:r w:rsidRPr="0013344D">
        <w:rPr>
          <w:lang w:val="en-US"/>
        </w:rPr>
        <w:t>485</w:t>
      </w:r>
      <w:r w:rsidR="00443E7E" w:rsidRPr="0013344D">
        <w:t xml:space="preserve"> хил. физ. т</w:t>
      </w:r>
      <w:r w:rsidRPr="0013344D">
        <w:t>она, като количество спрямо 201</w:t>
      </w:r>
      <w:r w:rsidRPr="0013344D">
        <w:rPr>
          <w:lang w:val="en-US"/>
        </w:rPr>
        <w:t>8</w:t>
      </w:r>
      <w:r w:rsidRPr="0013344D">
        <w:t>г. се отчита намаление от 1</w:t>
      </w:r>
      <w:r w:rsidRPr="0013344D">
        <w:rPr>
          <w:lang w:val="en-US"/>
        </w:rPr>
        <w:t>1</w:t>
      </w:r>
      <w:r w:rsidR="007B4FAD" w:rsidRPr="0013344D">
        <w:t>9</w:t>
      </w:r>
      <w:r w:rsidRPr="0013344D">
        <w:t xml:space="preserve"> хил. физ. тона или -</w:t>
      </w:r>
      <w:r w:rsidR="007B4FAD" w:rsidRPr="0013344D">
        <w:t xml:space="preserve">20 </w:t>
      </w:r>
      <w:r w:rsidR="00443E7E" w:rsidRPr="0013344D">
        <w:t>%.</w:t>
      </w:r>
      <w:r w:rsidR="00443E7E" w:rsidRPr="003D5468">
        <w:t xml:space="preserve"> </w:t>
      </w:r>
      <w:bookmarkEnd w:id="7"/>
    </w:p>
    <w:p w:rsidR="00C41F86" w:rsidRPr="003D5468" w:rsidRDefault="00102EC7" w:rsidP="00C41F86">
      <w:pPr>
        <w:pStyle w:val="NormalWeb"/>
        <w:spacing w:after="120" w:afterAutospacing="0"/>
        <w:jc w:val="center"/>
      </w:pPr>
      <w:r>
        <w:rPr>
          <w:noProof/>
        </w:rPr>
        <w:drawing>
          <wp:inline distT="0" distB="0" distL="0" distR="0" wp14:anchorId="71EF9089" wp14:editId="29BD3D14">
            <wp:extent cx="5972810" cy="3184525"/>
            <wp:effectExtent l="0" t="0" r="27940" b="15875"/>
            <wp:docPr id="7" name="Диаграма 7">
              <a:extLst xmlns:a="http://schemas.openxmlformats.org/drawingml/2006/main">
                <a:ext uri="{FF2B5EF4-FFF2-40B4-BE49-F238E27FC236}">
                  <a16:creationId xmlns:a16="http://schemas.microsoft.com/office/drawing/2014/main" id="{0AD050D1-A08D-4CD8-810A-CD25E9E30B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635B1" w:rsidRPr="003D5468" w:rsidRDefault="006635B1" w:rsidP="00315993">
      <w:pPr>
        <w:pStyle w:val="NormalWeb"/>
        <w:spacing w:after="120" w:afterAutospacing="0"/>
        <w:ind w:firstLine="720"/>
        <w:jc w:val="both"/>
      </w:pPr>
    </w:p>
    <w:p w:rsidR="0013344D" w:rsidRDefault="00443E7E" w:rsidP="0013344D">
      <w:pPr>
        <w:pStyle w:val="NormalWeb"/>
        <w:spacing w:after="120" w:afterAutospacing="0"/>
        <w:ind w:firstLine="720"/>
        <w:jc w:val="both"/>
        <w:rPr>
          <w:noProof/>
        </w:rPr>
      </w:pPr>
      <w:bookmarkStart w:id="8" w:name="_Hlk506991470"/>
      <w:r w:rsidRPr="0013344D">
        <w:t xml:space="preserve">Що се отнася до съотношението между основните групи товари, насипните традиционно доминират в обема </w:t>
      </w:r>
      <w:r w:rsidR="00102EC7" w:rsidRPr="0013344D">
        <w:t xml:space="preserve">на общия товарооборот. </w:t>
      </w:r>
      <w:bookmarkEnd w:id="8"/>
      <w:r w:rsidR="0013344D" w:rsidRPr="0013344D">
        <w:rPr>
          <w:noProof/>
        </w:rPr>
        <w:t xml:space="preserve">През 2019 г. наблюдаваме тенденция към леко намаляване на генералните товари – от 158 хил.тона през 2018 г. до 145 хил.тона за 2019, или 9% по-малко в сравнение с предходната година. </w:t>
      </w:r>
    </w:p>
    <w:p w:rsidR="0013344D" w:rsidRDefault="0013344D" w:rsidP="0013344D">
      <w:pPr>
        <w:pStyle w:val="NormalWeb"/>
        <w:spacing w:after="120" w:afterAutospacing="0"/>
        <w:ind w:firstLine="720"/>
        <w:jc w:val="both"/>
        <w:rPr>
          <w:noProof/>
        </w:rPr>
      </w:pPr>
    </w:p>
    <w:p w:rsidR="00B30715" w:rsidRPr="003D5468" w:rsidRDefault="0013344D" w:rsidP="0013344D">
      <w:pPr>
        <w:pStyle w:val="NormalWeb"/>
        <w:spacing w:after="120" w:afterAutospacing="0"/>
        <w:ind w:firstLine="720"/>
        <w:jc w:val="center"/>
      </w:pPr>
      <w:r w:rsidRPr="0013344D">
        <w:rPr>
          <w:noProof/>
        </w:rPr>
        <w:t>.</w:t>
      </w:r>
      <w:r w:rsidR="00102EC7">
        <w:rPr>
          <w:noProof/>
        </w:rPr>
        <w:drawing>
          <wp:inline distT="0" distB="0" distL="0" distR="0" wp14:anchorId="010E79BA" wp14:editId="23608E31">
            <wp:extent cx="4291014" cy="2247900"/>
            <wp:effectExtent l="0" t="0" r="0" b="0"/>
            <wp:docPr id="11" name="Диаграма 11">
              <a:extLst xmlns:a="http://schemas.openxmlformats.org/drawingml/2006/main">
                <a:ext uri="{FF2B5EF4-FFF2-40B4-BE49-F238E27FC236}">
                  <a16:creationId xmlns:a16="http://schemas.microsoft.com/office/drawing/2014/main" id="{34C2B77F-1779-4D0A-9384-6E0AA56F84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278DE" w:rsidRPr="003D5468" w:rsidRDefault="00F278DE" w:rsidP="00F278DE">
      <w:pPr>
        <w:pStyle w:val="NormalWeb"/>
        <w:tabs>
          <w:tab w:val="left" w:pos="1134"/>
        </w:tabs>
        <w:spacing w:after="120"/>
        <w:ind w:left="851"/>
        <w:jc w:val="both"/>
      </w:pPr>
    </w:p>
    <w:p w:rsidR="00657A5D" w:rsidRPr="003D5468" w:rsidRDefault="00657A5D" w:rsidP="00F278DE">
      <w:pPr>
        <w:pStyle w:val="NormalWeb"/>
        <w:tabs>
          <w:tab w:val="left" w:pos="1134"/>
        </w:tabs>
        <w:spacing w:after="120"/>
        <w:ind w:left="851"/>
        <w:jc w:val="both"/>
      </w:pPr>
    </w:p>
    <w:p w:rsidR="008B5165" w:rsidRPr="003D5468" w:rsidRDefault="006635B1" w:rsidP="00C4776F">
      <w:pPr>
        <w:pStyle w:val="NormalWeb"/>
        <w:tabs>
          <w:tab w:val="left" w:pos="1134"/>
        </w:tabs>
        <w:spacing w:after="120"/>
        <w:ind w:left="851"/>
        <w:jc w:val="both"/>
        <w:rPr>
          <w:b/>
        </w:rPr>
      </w:pPr>
      <w:r w:rsidRPr="003D5468">
        <w:lastRenderedPageBreak/>
        <w:t xml:space="preserve"> </w:t>
      </w:r>
      <w:r w:rsidR="008B5165" w:rsidRPr="003D5468">
        <w:rPr>
          <w:b/>
        </w:rPr>
        <w:t>Товарооборот по видове</w:t>
      </w:r>
      <w:r w:rsidR="000865A8" w:rsidRPr="003D5468">
        <w:rPr>
          <w:b/>
        </w:rPr>
        <w:t xml:space="preserve"> </w:t>
      </w:r>
      <w:r w:rsidR="008B5165" w:rsidRPr="003D5468">
        <w:rPr>
          <w:b/>
        </w:rPr>
        <w:t>товари</w:t>
      </w:r>
    </w:p>
    <w:tbl>
      <w:tblPr>
        <w:tblW w:w="9373" w:type="dxa"/>
        <w:jc w:val="center"/>
        <w:tblLayout w:type="fixed"/>
        <w:tblCellMar>
          <w:left w:w="70" w:type="dxa"/>
          <w:right w:w="70" w:type="dxa"/>
        </w:tblCellMar>
        <w:tblLook w:val="0000" w:firstRow="0" w:lastRow="0" w:firstColumn="0" w:lastColumn="0" w:noHBand="0" w:noVBand="0"/>
      </w:tblPr>
      <w:tblGrid>
        <w:gridCol w:w="3986"/>
        <w:gridCol w:w="1134"/>
        <w:gridCol w:w="1134"/>
        <w:gridCol w:w="992"/>
        <w:gridCol w:w="1146"/>
        <w:gridCol w:w="981"/>
      </w:tblGrid>
      <w:tr w:rsidR="00016B1B" w:rsidRPr="003D5468" w:rsidTr="006A52D1">
        <w:trPr>
          <w:trHeight w:val="356"/>
          <w:jc w:val="center"/>
        </w:trPr>
        <w:tc>
          <w:tcPr>
            <w:tcW w:w="3986" w:type="dxa"/>
            <w:tcBorders>
              <w:top w:val="single" w:sz="4" w:space="0" w:color="auto"/>
              <w:left w:val="single" w:sz="4" w:space="0" w:color="auto"/>
              <w:right w:val="single" w:sz="4" w:space="0" w:color="auto"/>
            </w:tcBorders>
            <w:shd w:val="clear" w:color="auto" w:fill="E0E0E0"/>
          </w:tcPr>
          <w:p w:rsidR="00016B1B" w:rsidRPr="003D5468" w:rsidRDefault="00016B1B" w:rsidP="00016B1B">
            <w:pPr>
              <w:keepNext/>
              <w:spacing w:before="240" w:after="60"/>
              <w:jc w:val="center"/>
              <w:outlineLvl w:val="0"/>
              <w:rPr>
                <w:rFonts w:ascii="Arial" w:eastAsia="Times New Roman" w:hAnsi="Arial" w:cs="Arial"/>
                <w:b/>
                <w:bCs/>
                <w:kern w:val="32"/>
                <w:sz w:val="32"/>
                <w:szCs w:val="20"/>
                <w:lang w:eastAsia="bg-BG"/>
              </w:rPr>
            </w:pPr>
          </w:p>
        </w:tc>
        <w:tc>
          <w:tcPr>
            <w:tcW w:w="5387" w:type="dxa"/>
            <w:gridSpan w:val="5"/>
            <w:tcBorders>
              <w:top w:val="single" w:sz="4" w:space="0" w:color="auto"/>
              <w:left w:val="nil"/>
              <w:right w:val="single" w:sz="4" w:space="0" w:color="auto"/>
            </w:tcBorders>
            <w:shd w:val="clear" w:color="auto" w:fill="E0E0E0"/>
            <w:vAlign w:val="center"/>
          </w:tcPr>
          <w:p w:rsidR="00016B1B" w:rsidRPr="0005643A" w:rsidRDefault="00016B1B" w:rsidP="00016B1B">
            <w:pPr>
              <w:jc w:val="center"/>
              <w:rPr>
                <w:rFonts w:ascii="Arial" w:eastAsia="Times New Roman" w:hAnsi="Arial" w:cs="Arial"/>
                <w:snapToGrid w:val="0"/>
                <w:color w:val="000000"/>
                <w:sz w:val="20"/>
                <w:szCs w:val="20"/>
                <w:lang w:eastAsia="en-US"/>
              </w:rPr>
            </w:pPr>
            <w:r w:rsidRPr="0005643A">
              <w:rPr>
                <w:rFonts w:ascii="Arial" w:eastAsia="Times New Roman" w:hAnsi="Arial" w:cs="Arial"/>
                <w:snapToGrid w:val="0"/>
                <w:color w:val="000000"/>
                <w:sz w:val="20"/>
                <w:szCs w:val="20"/>
                <w:lang w:eastAsia="en-US"/>
              </w:rPr>
              <w:t xml:space="preserve">ЯНУАРИ - ДЕКЕМВРИ </w:t>
            </w:r>
            <w:r w:rsidRPr="0005643A">
              <w:rPr>
                <w:rFonts w:ascii="Arial" w:eastAsia="Times New Roman" w:hAnsi="Arial" w:cs="Arial"/>
                <w:snapToGrid w:val="0"/>
                <w:color w:val="000000"/>
                <w:sz w:val="20"/>
                <w:szCs w:val="20"/>
                <w:lang w:val="ru-RU" w:eastAsia="en-US"/>
              </w:rPr>
              <w:t>20</w:t>
            </w:r>
            <w:r w:rsidRPr="0005643A">
              <w:rPr>
                <w:rFonts w:ascii="Arial" w:eastAsia="Times New Roman" w:hAnsi="Arial" w:cs="Arial"/>
                <w:snapToGrid w:val="0"/>
                <w:color w:val="000000"/>
                <w:sz w:val="20"/>
                <w:szCs w:val="20"/>
                <w:lang w:val="en-US" w:eastAsia="en-US"/>
              </w:rPr>
              <w:t>1</w:t>
            </w:r>
            <w:r w:rsidR="0019674C" w:rsidRPr="0005643A">
              <w:rPr>
                <w:rFonts w:ascii="Arial" w:eastAsia="Times New Roman" w:hAnsi="Arial" w:cs="Arial"/>
                <w:snapToGrid w:val="0"/>
                <w:color w:val="000000"/>
                <w:sz w:val="20"/>
                <w:szCs w:val="20"/>
                <w:lang w:eastAsia="en-US"/>
              </w:rPr>
              <w:t>9</w:t>
            </w:r>
          </w:p>
        </w:tc>
      </w:tr>
      <w:tr w:rsidR="00DD76F5" w:rsidRPr="003D5468" w:rsidTr="00DD76F5">
        <w:trPr>
          <w:trHeight w:val="528"/>
          <w:jc w:val="center"/>
        </w:trPr>
        <w:tc>
          <w:tcPr>
            <w:tcW w:w="3986" w:type="dxa"/>
            <w:tcBorders>
              <w:top w:val="single" w:sz="4" w:space="0" w:color="auto"/>
              <w:left w:val="single" w:sz="4" w:space="0" w:color="auto"/>
              <w:bottom w:val="single" w:sz="4" w:space="0" w:color="auto"/>
              <w:right w:val="single" w:sz="4" w:space="0" w:color="auto"/>
            </w:tcBorders>
            <w:vAlign w:val="center"/>
          </w:tcPr>
          <w:p w:rsidR="00DD76F5" w:rsidRPr="00B16168" w:rsidRDefault="00DD76F5" w:rsidP="009976AE">
            <w:pPr>
              <w:pStyle w:val="Caption"/>
              <w:rPr>
                <w:rFonts w:ascii="Arial" w:hAnsi="Arial" w:cs="Arial"/>
                <w:kern w:val="32"/>
                <w:sz w:val="22"/>
                <w:szCs w:val="22"/>
                <w:lang w:eastAsia="bg-BG"/>
              </w:rPr>
            </w:pPr>
            <w:bookmarkStart w:id="9" w:name="_Toc477959764"/>
            <w:r w:rsidRPr="00B16168">
              <w:rPr>
                <w:lang w:eastAsia="bg-BG"/>
              </w:rPr>
              <w:t>ПОКАЗАТЕЛИ</w:t>
            </w:r>
            <w:bookmarkEnd w:id="9"/>
          </w:p>
        </w:tc>
        <w:tc>
          <w:tcPr>
            <w:tcW w:w="1134" w:type="dxa"/>
            <w:tcBorders>
              <w:top w:val="single" w:sz="4" w:space="0" w:color="auto"/>
              <w:left w:val="nil"/>
              <w:bottom w:val="single" w:sz="4" w:space="0" w:color="auto"/>
              <w:right w:val="single" w:sz="4" w:space="0" w:color="auto"/>
            </w:tcBorders>
            <w:vAlign w:val="center"/>
          </w:tcPr>
          <w:p w:rsidR="00DD76F5" w:rsidRPr="003D5468" w:rsidRDefault="00DD76F5" w:rsidP="00DD76F5">
            <w:pPr>
              <w:jc w:val="center"/>
              <w:rPr>
                <w:rFonts w:ascii="Arial Narrow" w:hAnsi="Arial Narrow" w:cs="Arial"/>
                <w:sz w:val="20"/>
                <w:szCs w:val="20"/>
                <w:lang w:eastAsia="bg-BG"/>
              </w:rPr>
            </w:pPr>
            <w:r w:rsidRPr="003D5468">
              <w:rPr>
                <w:rFonts w:ascii="Arial Narrow" w:hAnsi="Arial Narrow" w:cs="Arial"/>
                <w:sz w:val="20"/>
                <w:szCs w:val="20"/>
              </w:rPr>
              <w:t>отчетен период</w:t>
            </w:r>
          </w:p>
        </w:tc>
        <w:tc>
          <w:tcPr>
            <w:tcW w:w="1134" w:type="dxa"/>
            <w:tcBorders>
              <w:top w:val="single" w:sz="4" w:space="0" w:color="auto"/>
              <w:left w:val="nil"/>
              <w:bottom w:val="single" w:sz="4" w:space="0" w:color="auto"/>
              <w:right w:val="nil"/>
            </w:tcBorders>
            <w:vAlign w:val="center"/>
          </w:tcPr>
          <w:p w:rsidR="00DD76F5" w:rsidRPr="0005643A" w:rsidRDefault="00DD76F5" w:rsidP="00DD76F5">
            <w:pPr>
              <w:jc w:val="center"/>
              <w:rPr>
                <w:rFonts w:ascii="Arial Narrow" w:hAnsi="Arial Narrow" w:cs="Arial"/>
                <w:sz w:val="20"/>
                <w:szCs w:val="20"/>
              </w:rPr>
            </w:pPr>
            <w:r w:rsidRPr="0005643A">
              <w:rPr>
                <w:rFonts w:ascii="Arial Narrow" w:hAnsi="Arial Narrow" w:cs="Arial"/>
                <w:sz w:val="20"/>
                <w:szCs w:val="20"/>
              </w:rPr>
              <w:t>бизнес план</w:t>
            </w:r>
          </w:p>
        </w:tc>
        <w:tc>
          <w:tcPr>
            <w:tcW w:w="992" w:type="dxa"/>
            <w:tcBorders>
              <w:top w:val="single" w:sz="4" w:space="0" w:color="auto"/>
              <w:left w:val="single" w:sz="4" w:space="0" w:color="auto"/>
              <w:bottom w:val="single" w:sz="4" w:space="0" w:color="auto"/>
              <w:right w:val="single" w:sz="4" w:space="0" w:color="auto"/>
            </w:tcBorders>
            <w:vAlign w:val="center"/>
          </w:tcPr>
          <w:p w:rsidR="00DD76F5" w:rsidRPr="0005643A" w:rsidRDefault="00DD76F5" w:rsidP="00DD76F5">
            <w:pPr>
              <w:jc w:val="center"/>
              <w:rPr>
                <w:rFonts w:ascii="Arial Narrow" w:hAnsi="Arial Narrow" w:cs="Arial"/>
                <w:sz w:val="20"/>
                <w:szCs w:val="20"/>
              </w:rPr>
            </w:pPr>
            <w:r w:rsidRPr="0005643A">
              <w:rPr>
                <w:rFonts w:ascii="Arial Narrow" w:hAnsi="Arial Narrow" w:cs="Arial"/>
                <w:sz w:val="20"/>
                <w:szCs w:val="20"/>
              </w:rPr>
              <w:t>1/2 (%)</w:t>
            </w:r>
          </w:p>
        </w:tc>
        <w:tc>
          <w:tcPr>
            <w:tcW w:w="1146" w:type="dxa"/>
            <w:tcBorders>
              <w:top w:val="single" w:sz="4" w:space="0" w:color="auto"/>
              <w:left w:val="nil"/>
              <w:bottom w:val="single" w:sz="4" w:space="0" w:color="auto"/>
              <w:right w:val="nil"/>
            </w:tcBorders>
            <w:vAlign w:val="center"/>
          </w:tcPr>
          <w:p w:rsidR="00DD76F5" w:rsidRPr="0005643A" w:rsidRDefault="00DD76F5" w:rsidP="00DD76F5">
            <w:pPr>
              <w:jc w:val="center"/>
              <w:rPr>
                <w:rFonts w:ascii="Arial Narrow" w:hAnsi="Arial Narrow" w:cs="Arial"/>
                <w:sz w:val="20"/>
                <w:szCs w:val="20"/>
              </w:rPr>
            </w:pPr>
            <w:r w:rsidRPr="0005643A">
              <w:rPr>
                <w:rFonts w:ascii="Arial Narrow" w:hAnsi="Arial Narrow" w:cs="Arial"/>
                <w:sz w:val="20"/>
                <w:szCs w:val="20"/>
              </w:rPr>
              <w:t>предходна година</w:t>
            </w:r>
          </w:p>
        </w:tc>
        <w:tc>
          <w:tcPr>
            <w:tcW w:w="981" w:type="dxa"/>
            <w:tcBorders>
              <w:top w:val="single" w:sz="4" w:space="0" w:color="auto"/>
              <w:left w:val="single" w:sz="4" w:space="0" w:color="auto"/>
              <w:bottom w:val="single" w:sz="4" w:space="0" w:color="auto"/>
              <w:right w:val="single" w:sz="4" w:space="0" w:color="auto"/>
            </w:tcBorders>
            <w:vAlign w:val="center"/>
          </w:tcPr>
          <w:p w:rsidR="00DD76F5" w:rsidRPr="0005643A" w:rsidRDefault="00DD76F5" w:rsidP="00DD76F5">
            <w:pPr>
              <w:jc w:val="center"/>
              <w:rPr>
                <w:rFonts w:ascii="Arial Narrow" w:hAnsi="Arial Narrow" w:cs="Arial"/>
                <w:sz w:val="20"/>
                <w:szCs w:val="20"/>
              </w:rPr>
            </w:pPr>
            <w:r w:rsidRPr="0005643A">
              <w:rPr>
                <w:rFonts w:ascii="Arial Narrow" w:hAnsi="Arial Narrow" w:cs="Arial"/>
                <w:sz w:val="20"/>
                <w:szCs w:val="20"/>
              </w:rPr>
              <w:t> 1/3 (%)</w:t>
            </w:r>
          </w:p>
        </w:tc>
      </w:tr>
      <w:tr w:rsidR="00443E7E" w:rsidRPr="003D5468" w:rsidTr="00443E7E">
        <w:trPr>
          <w:trHeight w:val="270"/>
          <w:jc w:val="center"/>
        </w:trPr>
        <w:tc>
          <w:tcPr>
            <w:tcW w:w="3986" w:type="dxa"/>
            <w:tcBorders>
              <w:top w:val="single" w:sz="4" w:space="0" w:color="auto"/>
              <w:left w:val="single" w:sz="4" w:space="0" w:color="auto"/>
              <w:bottom w:val="single" w:sz="4" w:space="0" w:color="auto"/>
              <w:right w:val="single" w:sz="4" w:space="0" w:color="auto"/>
            </w:tcBorders>
            <w:vAlign w:val="bottom"/>
          </w:tcPr>
          <w:p w:rsidR="00443E7E" w:rsidRPr="003D5468" w:rsidRDefault="00443E7E" w:rsidP="00443E7E">
            <w:pPr>
              <w:rPr>
                <w:rFonts w:ascii="Arial" w:hAnsi="Arial" w:cs="Arial"/>
                <w:b/>
                <w:sz w:val="20"/>
                <w:szCs w:val="20"/>
              </w:rPr>
            </w:pPr>
            <w:r w:rsidRPr="003D5468">
              <w:rPr>
                <w:rFonts w:ascii="Arial" w:hAnsi="Arial" w:cs="Arial"/>
                <w:b/>
                <w:sz w:val="20"/>
                <w:szCs w:val="20"/>
              </w:rPr>
              <w:t>Обработени товари  (хил. физ. тона)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43E7E" w:rsidRPr="0005643A" w:rsidRDefault="0019674C" w:rsidP="00443E7E">
            <w:pPr>
              <w:jc w:val="right"/>
              <w:rPr>
                <w:rFonts w:ascii="Arial" w:hAnsi="Arial" w:cs="Arial"/>
                <w:sz w:val="20"/>
                <w:szCs w:val="20"/>
                <w:lang w:val="en-US"/>
              </w:rPr>
            </w:pPr>
            <w:r w:rsidRPr="0005643A">
              <w:rPr>
                <w:rFonts w:ascii="Arial" w:hAnsi="Arial" w:cs="Arial"/>
                <w:sz w:val="20"/>
                <w:szCs w:val="20"/>
                <w:lang w:val="en-US"/>
              </w:rPr>
              <w:t>484</w:t>
            </w:r>
            <w:r w:rsidRPr="0005643A">
              <w:rPr>
                <w:rFonts w:ascii="Arial" w:hAnsi="Arial" w:cs="Arial"/>
                <w:sz w:val="20"/>
                <w:szCs w:val="20"/>
              </w:rPr>
              <w:t>,</w:t>
            </w:r>
            <w:r w:rsidR="001A7E2D" w:rsidRPr="0005643A">
              <w:rPr>
                <w:rFonts w:ascii="Arial" w:hAnsi="Arial" w:cs="Arial"/>
                <w:sz w:val="20"/>
                <w:szCs w:val="20"/>
                <w:lang w:val="en-US"/>
              </w:rPr>
              <w:t>994</w:t>
            </w:r>
          </w:p>
        </w:tc>
        <w:tc>
          <w:tcPr>
            <w:tcW w:w="1134" w:type="dxa"/>
            <w:tcBorders>
              <w:top w:val="single" w:sz="4" w:space="0" w:color="auto"/>
              <w:left w:val="nil"/>
              <w:bottom w:val="single" w:sz="4" w:space="0" w:color="auto"/>
              <w:right w:val="single" w:sz="4" w:space="0" w:color="auto"/>
            </w:tcBorders>
            <w:shd w:val="clear" w:color="auto" w:fill="auto"/>
          </w:tcPr>
          <w:p w:rsidR="00443E7E" w:rsidRPr="0005643A" w:rsidRDefault="0019674C" w:rsidP="0019674C">
            <w:pPr>
              <w:jc w:val="right"/>
              <w:rPr>
                <w:rFonts w:ascii="Arial" w:hAnsi="Arial" w:cs="Arial"/>
                <w:sz w:val="20"/>
                <w:szCs w:val="20"/>
                <w:lang w:val="en-US"/>
              </w:rPr>
            </w:pPr>
            <w:r w:rsidRPr="0005643A">
              <w:rPr>
                <w:rFonts w:ascii="Arial" w:hAnsi="Arial" w:cs="Arial"/>
                <w:sz w:val="20"/>
                <w:szCs w:val="20"/>
                <w:lang w:val="en-US"/>
              </w:rPr>
              <w:t>5</w:t>
            </w:r>
            <w:r w:rsidRPr="0005643A">
              <w:rPr>
                <w:rFonts w:ascii="Arial" w:hAnsi="Arial" w:cs="Arial"/>
                <w:sz w:val="20"/>
                <w:szCs w:val="20"/>
              </w:rPr>
              <w:t>84,</w:t>
            </w:r>
            <w:r w:rsidR="001A7E2D" w:rsidRPr="0005643A">
              <w:rPr>
                <w:rFonts w:ascii="Arial" w:hAnsi="Arial" w:cs="Arial"/>
                <w:sz w:val="20"/>
                <w:szCs w:val="20"/>
                <w:lang w:val="en-US"/>
              </w:rPr>
              <w:t>000</w:t>
            </w:r>
          </w:p>
        </w:tc>
        <w:tc>
          <w:tcPr>
            <w:tcW w:w="992" w:type="dxa"/>
            <w:tcBorders>
              <w:top w:val="single" w:sz="4" w:space="0" w:color="auto"/>
              <w:left w:val="nil"/>
              <w:bottom w:val="single" w:sz="4" w:space="0" w:color="auto"/>
              <w:right w:val="single" w:sz="4" w:space="0" w:color="auto"/>
            </w:tcBorders>
            <w:shd w:val="clear" w:color="auto" w:fill="auto"/>
          </w:tcPr>
          <w:p w:rsidR="00443E7E" w:rsidRPr="0005643A" w:rsidRDefault="001A7E2D" w:rsidP="00443E7E">
            <w:pPr>
              <w:jc w:val="right"/>
              <w:rPr>
                <w:rFonts w:ascii="Arial" w:hAnsi="Arial" w:cs="Arial"/>
                <w:sz w:val="20"/>
                <w:szCs w:val="20"/>
              </w:rPr>
            </w:pPr>
            <w:r w:rsidRPr="0005643A">
              <w:rPr>
                <w:rFonts w:ascii="Arial" w:hAnsi="Arial" w:cs="Arial"/>
                <w:sz w:val="20"/>
                <w:szCs w:val="20"/>
              </w:rPr>
              <w:t>-16,2%</w:t>
            </w:r>
          </w:p>
        </w:tc>
        <w:tc>
          <w:tcPr>
            <w:tcW w:w="1146" w:type="dxa"/>
            <w:tcBorders>
              <w:top w:val="single" w:sz="4" w:space="0" w:color="auto"/>
              <w:left w:val="nil"/>
              <w:bottom w:val="single" w:sz="4" w:space="0" w:color="auto"/>
              <w:right w:val="single" w:sz="4" w:space="0" w:color="auto"/>
            </w:tcBorders>
            <w:shd w:val="clear" w:color="auto" w:fill="auto"/>
          </w:tcPr>
          <w:p w:rsidR="00443E7E" w:rsidRPr="0005643A" w:rsidRDefault="001A7E2D" w:rsidP="00443E7E">
            <w:pPr>
              <w:jc w:val="right"/>
              <w:rPr>
                <w:rFonts w:ascii="Arial" w:hAnsi="Arial" w:cs="Arial"/>
                <w:sz w:val="20"/>
                <w:szCs w:val="20"/>
              </w:rPr>
            </w:pPr>
            <w:r w:rsidRPr="0005643A">
              <w:rPr>
                <w:rFonts w:ascii="Arial" w:hAnsi="Arial" w:cs="Arial"/>
                <w:sz w:val="20"/>
                <w:szCs w:val="20"/>
              </w:rPr>
              <w:t>603,797</w:t>
            </w:r>
          </w:p>
        </w:tc>
        <w:tc>
          <w:tcPr>
            <w:tcW w:w="981" w:type="dxa"/>
            <w:tcBorders>
              <w:top w:val="single" w:sz="4" w:space="0" w:color="auto"/>
              <w:left w:val="nil"/>
              <w:bottom w:val="single" w:sz="4" w:space="0" w:color="auto"/>
              <w:right w:val="single" w:sz="4" w:space="0" w:color="auto"/>
            </w:tcBorders>
            <w:shd w:val="clear" w:color="auto" w:fill="auto"/>
          </w:tcPr>
          <w:p w:rsidR="00443E7E" w:rsidRPr="0005643A" w:rsidRDefault="00443E7E" w:rsidP="001A7E2D">
            <w:pPr>
              <w:jc w:val="right"/>
              <w:rPr>
                <w:rFonts w:ascii="Arial" w:hAnsi="Arial" w:cs="Arial"/>
                <w:sz w:val="20"/>
                <w:szCs w:val="20"/>
              </w:rPr>
            </w:pPr>
            <w:r w:rsidRPr="0005643A">
              <w:rPr>
                <w:rFonts w:ascii="Arial" w:hAnsi="Arial" w:cs="Arial"/>
                <w:sz w:val="20"/>
                <w:szCs w:val="20"/>
              </w:rPr>
              <w:t>-</w:t>
            </w:r>
            <w:r w:rsidR="001A7E2D" w:rsidRPr="0005643A">
              <w:rPr>
                <w:rFonts w:ascii="Arial" w:hAnsi="Arial" w:cs="Arial"/>
                <w:sz w:val="20"/>
                <w:szCs w:val="20"/>
              </w:rPr>
              <w:t>19,7</w:t>
            </w:r>
            <w:r w:rsidRPr="0005643A">
              <w:rPr>
                <w:rFonts w:ascii="Arial" w:hAnsi="Arial" w:cs="Arial"/>
                <w:sz w:val="20"/>
                <w:szCs w:val="20"/>
              </w:rPr>
              <w:t>%</w:t>
            </w:r>
          </w:p>
        </w:tc>
      </w:tr>
      <w:tr w:rsidR="00443E7E" w:rsidRPr="003D5468" w:rsidTr="00443E7E">
        <w:trPr>
          <w:trHeight w:val="255"/>
          <w:jc w:val="center"/>
        </w:trPr>
        <w:tc>
          <w:tcPr>
            <w:tcW w:w="3986" w:type="dxa"/>
            <w:tcBorders>
              <w:top w:val="single" w:sz="4" w:space="0" w:color="auto"/>
              <w:left w:val="single" w:sz="4" w:space="0" w:color="auto"/>
              <w:bottom w:val="single" w:sz="4" w:space="0" w:color="auto"/>
              <w:right w:val="nil"/>
            </w:tcBorders>
            <w:vAlign w:val="bottom"/>
          </w:tcPr>
          <w:p w:rsidR="00443E7E" w:rsidRPr="003D5468" w:rsidRDefault="00443E7E" w:rsidP="00443E7E">
            <w:pPr>
              <w:ind w:firstLine="200"/>
              <w:rPr>
                <w:rFonts w:ascii="Arial" w:eastAsia="Times New Roman" w:hAnsi="Arial" w:cs="Arial"/>
                <w:sz w:val="20"/>
                <w:szCs w:val="20"/>
                <w:lang w:eastAsia="bg-BG"/>
              </w:rPr>
            </w:pPr>
            <w:r w:rsidRPr="003D5468">
              <w:rPr>
                <w:rFonts w:ascii="Arial" w:eastAsia="Times New Roman" w:hAnsi="Arial" w:cs="Arial"/>
                <w:sz w:val="20"/>
                <w:szCs w:val="20"/>
                <w:lang w:eastAsia="bg-BG"/>
              </w:rPr>
              <w:t xml:space="preserve">- насипни </w:t>
            </w:r>
          </w:p>
        </w:tc>
        <w:tc>
          <w:tcPr>
            <w:tcW w:w="1134" w:type="dxa"/>
            <w:tcBorders>
              <w:top w:val="nil"/>
              <w:left w:val="single" w:sz="4" w:space="0" w:color="auto"/>
              <w:bottom w:val="single" w:sz="4" w:space="0" w:color="auto"/>
              <w:right w:val="single" w:sz="4" w:space="0" w:color="auto"/>
            </w:tcBorders>
            <w:shd w:val="clear" w:color="auto" w:fill="auto"/>
          </w:tcPr>
          <w:p w:rsidR="00443E7E" w:rsidRPr="0005643A" w:rsidRDefault="0019674C" w:rsidP="00443E7E">
            <w:pPr>
              <w:jc w:val="right"/>
              <w:rPr>
                <w:rFonts w:ascii="Arial" w:hAnsi="Arial" w:cs="Arial"/>
                <w:sz w:val="20"/>
                <w:szCs w:val="20"/>
                <w:lang w:val="en-US"/>
              </w:rPr>
            </w:pPr>
            <w:r w:rsidRPr="0005643A">
              <w:rPr>
                <w:rFonts w:ascii="Arial" w:hAnsi="Arial" w:cs="Arial"/>
                <w:sz w:val="20"/>
                <w:szCs w:val="20"/>
                <w:lang w:val="en-US"/>
              </w:rPr>
              <w:t>339</w:t>
            </w:r>
            <w:r w:rsidRPr="0005643A">
              <w:rPr>
                <w:rFonts w:ascii="Arial" w:hAnsi="Arial" w:cs="Arial"/>
                <w:sz w:val="20"/>
                <w:szCs w:val="20"/>
              </w:rPr>
              <w:t>,</w:t>
            </w:r>
            <w:r w:rsidR="001A7E2D" w:rsidRPr="0005643A">
              <w:rPr>
                <w:rFonts w:ascii="Arial" w:hAnsi="Arial" w:cs="Arial"/>
                <w:sz w:val="20"/>
                <w:szCs w:val="20"/>
                <w:lang w:val="en-US"/>
              </w:rPr>
              <w:t>701</w:t>
            </w:r>
          </w:p>
        </w:tc>
        <w:tc>
          <w:tcPr>
            <w:tcW w:w="1134" w:type="dxa"/>
            <w:tcBorders>
              <w:top w:val="nil"/>
              <w:left w:val="nil"/>
              <w:bottom w:val="single" w:sz="4" w:space="0" w:color="auto"/>
              <w:right w:val="single" w:sz="4" w:space="0" w:color="auto"/>
            </w:tcBorders>
            <w:shd w:val="clear" w:color="auto" w:fill="auto"/>
          </w:tcPr>
          <w:p w:rsidR="00443E7E" w:rsidRPr="0005643A" w:rsidRDefault="001A7E2D" w:rsidP="00443E7E">
            <w:pPr>
              <w:jc w:val="right"/>
              <w:rPr>
                <w:rFonts w:ascii="Arial" w:hAnsi="Arial" w:cs="Arial"/>
                <w:sz w:val="20"/>
                <w:szCs w:val="20"/>
              </w:rPr>
            </w:pPr>
            <w:r w:rsidRPr="0005643A">
              <w:rPr>
                <w:rFonts w:ascii="Arial" w:hAnsi="Arial" w:cs="Arial"/>
                <w:sz w:val="20"/>
                <w:szCs w:val="20"/>
              </w:rPr>
              <w:t>453,000</w:t>
            </w:r>
          </w:p>
        </w:tc>
        <w:tc>
          <w:tcPr>
            <w:tcW w:w="992" w:type="dxa"/>
            <w:tcBorders>
              <w:top w:val="nil"/>
              <w:left w:val="nil"/>
              <w:bottom w:val="single" w:sz="4" w:space="0" w:color="auto"/>
              <w:right w:val="single" w:sz="4" w:space="0" w:color="auto"/>
            </w:tcBorders>
            <w:shd w:val="clear" w:color="auto" w:fill="auto"/>
          </w:tcPr>
          <w:p w:rsidR="00443E7E" w:rsidRPr="0005643A" w:rsidRDefault="00443E7E" w:rsidP="00443E7E">
            <w:pPr>
              <w:jc w:val="right"/>
              <w:rPr>
                <w:rFonts w:ascii="Arial" w:hAnsi="Arial" w:cs="Arial"/>
                <w:sz w:val="20"/>
                <w:szCs w:val="20"/>
              </w:rPr>
            </w:pPr>
            <w:r w:rsidRPr="0005643A">
              <w:rPr>
                <w:rFonts w:ascii="Arial" w:hAnsi="Arial" w:cs="Arial"/>
                <w:sz w:val="20"/>
                <w:szCs w:val="20"/>
              </w:rPr>
              <w:t>-</w:t>
            </w:r>
            <w:r w:rsidR="001A7E2D" w:rsidRPr="0005643A">
              <w:rPr>
                <w:rFonts w:ascii="Arial" w:hAnsi="Arial" w:cs="Arial"/>
                <w:sz w:val="20"/>
                <w:szCs w:val="20"/>
              </w:rPr>
              <w:t>25,0%</w:t>
            </w:r>
          </w:p>
        </w:tc>
        <w:tc>
          <w:tcPr>
            <w:tcW w:w="1146" w:type="dxa"/>
            <w:tcBorders>
              <w:top w:val="nil"/>
              <w:left w:val="nil"/>
              <w:bottom w:val="single" w:sz="4" w:space="0" w:color="auto"/>
              <w:right w:val="single" w:sz="4" w:space="0" w:color="auto"/>
            </w:tcBorders>
            <w:shd w:val="clear" w:color="auto" w:fill="auto"/>
          </w:tcPr>
          <w:p w:rsidR="00443E7E" w:rsidRPr="0005643A" w:rsidRDefault="001A7E2D" w:rsidP="00443E7E">
            <w:pPr>
              <w:jc w:val="right"/>
              <w:rPr>
                <w:rFonts w:ascii="Arial" w:hAnsi="Arial" w:cs="Arial"/>
                <w:sz w:val="20"/>
                <w:szCs w:val="20"/>
              </w:rPr>
            </w:pPr>
            <w:r w:rsidRPr="0005643A">
              <w:rPr>
                <w:rFonts w:ascii="Arial" w:hAnsi="Arial" w:cs="Arial"/>
                <w:sz w:val="20"/>
                <w:szCs w:val="20"/>
              </w:rPr>
              <w:t>445,106</w:t>
            </w:r>
          </w:p>
        </w:tc>
        <w:tc>
          <w:tcPr>
            <w:tcW w:w="981" w:type="dxa"/>
            <w:tcBorders>
              <w:top w:val="nil"/>
              <w:left w:val="nil"/>
              <w:bottom w:val="single" w:sz="4" w:space="0" w:color="auto"/>
              <w:right w:val="single" w:sz="4" w:space="0" w:color="auto"/>
            </w:tcBorders>
            <w:shd w:val="clear" w:color="auto" w:fill="auto"/>
          </w:tcPr>
          <w:p w:rsidR="00443E7E" w:rsidRPr="0005643A" w:rsidRDefault="00443E7E" w:rsidP="001A7E2D">
            <w:pPr>
              <w:jc w:val="right"/>
              <w:rPr>
                <w:rFonts w:ascii="Arial" w:hAnsi="Arial" w:cs="Arial"/>
                <w:sz w:val="20"/>
                <w:szCs w:val="20"/>
              </w:rPr>
            </w:pPr>
            <w:r w:rsidRPr="0005643A">
              <w:rPr>
                <w:rFonts w:ascii="Arial" w:hAnsi="Arial" w:cs="Arial"/>
                <w:sz w:val="20"/>
                <w:szCs w:val="20"/>
              </w:rPr>
              <w:t>-</w:t>
            </w:r>
            <w:r w:rsidR="001A7E2D" w:rsidRPr="0005643A">
              <w:rPr>
                <w:rFonts w:ascii="Arial" w:hAnsi="Arial" w:cs="Arial"/>
                <w:sz w:val="20"/>
                <w:szCs w:val="20"/>
              </w:rPr>
              <w:t>23,7</w:t>
            </w:r>
            <w:r w:rsidRPr="0005643A">
              <w:rPr>
                <w:rFonts w:ascii="Arial" w:hAnsi="Arial" w:cs="Arial"/>
                <w:sz w:val="20"/>
                <w:szCs w:val="20"/>
              </w:rPr>
              <w:t>%</w:t>
            </w:r>
          </w:p>
        </w:tc>
      </w:tr>
      <w:tr w:rsidR="00443E7E" w:rsidRPr="003D5468" w:rsidTr="00443E7E">
        <w:trPr>
          <w:trHeight w:val="255"/>
          <w:jc w:val="center"/>
        </w:trPr>
        <w:tc>
          <w:tcPr>
            <w:tcW w:w="3986" w:type="dxa"/>
            <w:tcBorders>
              <w:top w:val="single" w:sz="4" w:space="0" w:color="auto"/>
              <w:left w:val="single" w:sz="4" w:space="0" w:color="auto"/>
              <w:bottom w:val="single" w:sz="4" w:space="0" w:color="auto"/>
              <w:right w:val="nil"/>
            </w:tcBorders>
            <w:vAlign w:val="bottom"/>
          </w:tcPr>
          <w:p w:rsidR="00443E7E" w:rsidRPr="003D5468" w:rsidRDefault="00443E7E" w:rsidP="00443E7E">
            <w:pPr>
              <w:ind w:firstLine="200"/>
              <w:rPr>
                <w:rFonts w:ascii="Arial" w:eastAsia="Times New Roman" w:hAnsi="Arial" w:cs="Arial"/>
                <w:sz w:val="20"/>
                <w:szCs w:val="20"/>
                <w:lang w:eastAsia="bg-BG"/>
              </w:rPr>
            </w:pPr>
            <w:r w:rsidRPr="003D5468">
              <w:rPr>
                <w:rFonts w:ascii="Arial" w:eastAsia="Times New Roman" w:hAnsi="Arial" w:cs="Arial"/>
                <w:sz w:val="20"/>
                <w:szCs w:val="20"/>
                <w:lang w:eastAsia="bg-BG"/>
              </w:rPr>
              <w:t>- генерални</w:t>
            </w:r>
          </w:p>
        </w:tc>
        <w:tc>
          <w:tcPr>
            <w:tcW w:w="1134" w:type="dxa"/>
            <w:tcBorders>
              <w:top w:val="nil"/>
              <w:left w:val="single" w:sz="4" w:space="0" w:color="auto"/>
              <w:bottom w:val="single" w:sz="4" w:space="0" w:color="auto"/>
              <w:right w:val="single" w:sz="4" w:space="0" w:color="auto"/>
            </w:tcBorders>
            <w:shd w:val="clear" w:color="auto" w:fill="auto"/>
          </w:tcPr>
          <w:p w:rsidR="00443E7E" w:rsidRPr="0005643A" w:rsidRDefault="001A7E2D" w:rsidP="00443E7E">
            <w:pPr>
              <w:jc w:val="right"/>
              <w:rPr>
                <w:rFonts w:ascii="Arial" w:hAnsi="Arial" w:cs="Arial"/>
                <w:sz w:val="20"/>
                <w:szCs w:val="20"/>
              </w:rPr>
            </w:pPr>
            <w:r w:rsidRPr="0005643A">
              <w:rPr>
                <w:rFonts w:ascii="Arial" w:hAnsi="Arial" w:cs="Arial"/>
                <w:sz w:val="20"/>
                <w:szCs w:val="20"/>
              </w:rPr>
              <w:t>145,293</w:t>
            </w:r>
          </w:p>
        </w:tc>
        <w:tc>
          <w:tcPr>
            <w:tcW w:w="1134" w:type="dxa"/>
            <w:tcBorders>
              <w:top w:val="nil"/>
              <w:left w:val="nil"/>
              <w:bottom w:val="single" w:sz="4" w:space="0" w:color="auto"/>
              <w:right w:val="single" w:sz="4" w:space="0" w:color="auto"/>
            </w:tcBorders>
            <w:shd w:val="clear" w:color="auto" w:fill="auto"/>
          </w:tcPr>
          <w:p w:rsidR="00443E7E" w:rsidRPr="0005643A" w:rsidRDefault="001A7E2D" w:rsidP="00443E7E">
            <w:pPr>
              <w:jc w:val="right"/>
              <w:rPr>
                <w:rFonts w:ascii="Arial" w:hAnsi="Arial" w:cs="Arial"/>
                <w:sz w:val="20"/>
                <w:szCs w:val="20"/>
              </w:rPr>
            </w:pPr>
            <w:r w:rsidRPr="0005643A">
              <w:rPr>
                <w:rFonts w:ascii="Arial" w:hAnsi="Arial" w:cs="Arial"/>
                <w:sz w:val="20"/>
                <w:szCs w:val="20"/>
              </w:rPr>
              <w:t>131,000</w:t>
            </w:r>
          </w:p>
        </w:tc>
        <w:tc>
          <w:tcPr>
            <w:tcW w:w="992" w:type="dxa"/>
            <w:tcBorders>
              <w:top w:val="nil"/>
              <w:left w:val="nil"/>
              <w:bottom w:val="single" w:sz="4" w:space="0" w:color="auto"/>
              <w:right w:val="single" w:sz="4" w:space="0" w:color="auto"/>
            </w:tcBorders>
            <w:shd w:val="clear" w:color="auto" w:fill="auto"/>
          </w:tcPr>
          <w:p w:rsidR="00443E7E" w:rsidRPr="0005643A" w:rsidRDefault="001A7E2D" w:rsidP="00443E7E">
            <w:pPr>
              <w:jc w:val="right"/>
              <w:rPr>
                <w:rFonts w:ascii="Arial" w:hAnsi="Arial" w:cs="Arial"/>
                <w:sz w:val="20"/>
                <w:szCs w:val="20"/>
              </w:rPr>
            </w:pPr>
            <w:r w:rsidRPr="0005643A">
              <w:rPr>
                <w:rFonts w:ascii="Arial" w:hAnsi="Arial" w:cs="Arial"/>
                <w:sz w:val="20"/>
                <w:szCs w:val="20"/>
              </w:rPr>
              <w:t>10,9</w:t>
            </w:r>
            <w:r w:rsidR="00443E7E" w:rsidRPr="0005643A">
              <w:rPr>
                <w:rFonts w:ascii="Arial" w:hAnsi="Arial" w:cs="Arial"/>
                <w:sz w:val="20"/>
                <w:szCs w:val="20"/>
              </w:rPr>
              <w:t>%</w:t>
            </w:r>
          </w:p>
        </w:tc>
        <w:tc>
          <w:tcPr>
            <w:tcW w:w="1146" w:type="dxa"/>
            <w:tcBorders>
              <w:top w:val="nil"/>
              <w:left w:val="nil"/>
              <w:bottom w:val="single" w:sz="4" w:space="0" w:color="auto"/>
              <w:right w:val="single" w:sz="4" w:space="0" w:color="auto"/>
            </w:tcBorders>
            <w:shd w:val="clear" w:color="auto" w:fill="auto"/>
          </w:tcPr>
          <w:p w:rsidR="00443E7E" w:rsidRPr="0005643A" w:rsidRDefault="001A7E2D" w:rsidP="00443E7E">
            <w:pPr>
              <w:jc w:val="right"/>
              <w:rPr>
                <w:rFonts w:ascii="Arial" w:hAnsi="Arial" w:cs="Arial"/>
                <w:sz w:val="20"/>
                <w:szCs w:val="20"/>
              </w:rPr>
            </w:pPr>
            <w:r w:rsidRPr="0005643A">
              <w:rPr>
                <w:rFonts w:ascii="Arial" w:hAnsi="Arial" w:cs="Arial"/>
                <w:sz w:val="20"/>
                <w:szCs w:val="20"/>
              </w:rPr>
              <w:t>158,691</w:t>
            </w:r>
          </w:p>
        </w:tc>
        <w:tc>
          <w:tcPr>
            <w:tcW w:w="981" w:type="dxa"/>
            <w:tcBorders>
              <w:top w:val="nil"/>
              <w:left w:val="nil"/>
              <w:bottom w:val="single" w:sz="4" w:space="0" w:color="auto"/>
              <w:right w:val="single" w:sz="4" w:space="0" w:color="auto"/>
            </w:tcBorders>
            <w:shd w:val="clear" w:color="auto" w:fill="auto"/>
          </w:tcPr>
          <w:p w:rsidR="00443E7E" w:rsidRPr="0005643A" w:rsidRDefault="001A7E2D" w:rsidP="00443E7E">
            <w:pPr>
              <w:jc w:val="right"/>
              <w:rPr>
                <w:rFonts w:ascii="Arial" w:hAnsi="Arial" w:cs="Arial"/>
                <w:sz w:val="20"/>
                <w:szCs w:val="20"/>
              </w:rPr>
            </w:pPr>
            <w:r w:rsidRPr="0005643A">
              <w:rPr>
                <w:rFonts w:ascii="Arial" w:hAnsi="Arial" w:cs="Arial"/>
                <w:sz w:val="20"/>
                <w:szCs w:val="20"/>
              </w:rPr>
              <w:t>-8,1</w:t>
            </w:r>
            <w:r w:rsidR="00443E7E" w:rsidRPr="0005643A">
              <w:rPr>
                <w:rFonts w:ascii="Arial" w:hAnsi="Arial" w:cs="Arial"/>
                <w:sz w:val="20"/>
                <w:szCs w:val="20"/>
              </w:rPr>
              <w:t>%</w:t>
            </w:r>
          </w:p>
        </w:tc>
      </w:tr>
    </w:tbl>
    <w:p w:rsidR="00443E7E" w:rsidRPr="003D5468" w:rsidRDefault="001A7E2D" w:rsidP="00443E7E">
      <w:pPr>
        <w:spacing w:before="120" w:after="120"/>
        <w:ind w:firstLine="709"/>
        <w:jc w:val="both"/>
        <w:rPr>
          <w:b/>
          <w:i/>
        </w:rPr>
      </w:pPr>
      <w:bookmarkStart w:id="10" w:name="_Hlk506992006"/>
      <w:bookmarkStart w:id="11" w:name="_Hlk506992069"/>
      <w:r w:rsidRPr="0005643A">
        <w:rPr>
          <w:b/>
          <w:i/>
        </w:rPr>
        <w:t>През 2019</w:t>
      </w:r>
      <w:r w:rsidR="00443E7E" w:rsidRPr="0005643A">
        <w:rPr>
          <w:b/>
          <w:i/>
        </w:rPr>
        <w:t xml:space="preserve"> г. терминал Русе-изток и Ро-Ро съоръжението към него осъществиха обработката на всички товари за комплекса на годишна база. Портът на дружеството в град Тутракан в последните години не извършва регулярна обработка на товари. Терминалите Силистра и Русе-център са предназначени за престой на плавателни съдове на понтони и не генерират съществен оперативни резултати.</w:t>
      </w:r>
      <w:bookmarkEnd w:id="10"/>
    </w:p>
    <w:p w:rsidR="006A52D1" w:rsidRPr="001A7E2D" w:rsidRDefault="00443E7E" w:rsidP="001A7E2D">
      <w:pPr>
        <w:spacing w:before="120" w:after="120"/>
        <w:ind w:firstLine="709"/>
        <w:jc w:val="both"/>
        <w:rPr>
          <w:rFonts w:eastAsia="Times New Roman"/>
          <w:lang w:eastAsia="bg-BG"/>
        </w:rPr>
      </w:pPr>
      <w:r w:rsidRPr="0005643A">
        <w:rPr>
          <w:rFonts w:eastAsia="Times New Roman"/>
          <w:b/>
          <w:u w:val="single"/>
          <w:lang w:eastAsia="bg-BG"/>
        </w:rPr>
        <w:t>Насипни товари</w:t>
      </w:r>
      <w:r w:rsidRPr="0005643A">
        <w:rPr>
          <w:rFonts w:eastAsia="Times New Roman"/>
          <w:lang w:eastAsia="bg-BG"/>
        </w:rPr>
        <w:t xml:space="preserve">  - през изминалата година бе отбелязана тенденция за намаление на относителния дял в общия товарооборот за сметка на генерални сто</w:t>
      </w:r>
      <w:r w:rsidR="001A7E2D" w:rsidRPr="0005643A">
        <w:rPr>
          <w:rFonts w:eastAsia="Times New Roman"/>
          <w:lang w:eastAsia="bg-BG"/>
        </w:rPr>
        <w:t>ки. Така за 2019</w:t>
      </w:r>
      <w:r w:rsidR="007D0C7D" w:rsidRPr="0005643A">
        <w:rPr>
          <w:rFonts w:eastAsia="Times New Roman"/>
          <w:lang w:eastAsia="bg-BG"/>
        </w:rPr>
        <w:t xml:space="preserve"> </w:t>
      </w:r>
      <w:r w:rsidR="001A7E2D" w:rsidRPr="0005643A">
        <w:rPr>
          <w:rFonts w:eastAsia="Times New Roman"/>
          <w:lang w:eastAsia="bg-BG"/>
        </w:rPr>
        <w:t>г. те формираха 70</w:t>
      </w:r>
      <w:r w:rsidRPr="0005643A">
        <w:rPr>
          <w:rFonts w:eastAsia="Times New Roman"/>
          <w:lang w:eastAsia="bg-BG"/>
        </w:rPr>
        <w:t>% от общия товарооб</w:t>
      </w:r>
      <w:r w:rsidR="001A7E2D" w:rsidRPr="0005643A">
        <w:rPr>
          <w:rFonts w:eastAsia="Times New Roman"/>
          <w:lang w:eastAsia="bg-BG"/>
        </w:rPr>
        <w:t>орот, докато за предходната 2018 г. са заемали 74</w:t>
      </w:r>
      <w:r w:rsidRPr="0005643A">
        <w:rPr>
          <w:rFonts w:eastAsia="Times New Roman"/>
          <w:lang w:eastAsia="bg-BG"/>
        </w:rPr>
        <w:t>%</w:t>
      </w:r>
      <w:r w:rsidRPr="0005643A">
        <w:rPr>
          <w:rFonts w:eastAsia="Times New Roman"/>
          <w:vertAlign w:val="superscript"/>
          <w:lang w:eastAsia="bg-BG"/>
        </w:rPr>
        <w:t>-тен</w:t>
      </w:r>
      <w:r w:rsidRPr="0005643A">
        <w:rPr>
          <w:rFonts w:eastAsia="Times New Roman"/>
          <w:lang w:eastAsia="bg-BG"/>
        </w:rPr>
        <w:t xml:space="preserve"> дял. В абсолютна стойност за т</w:t>
      </w:r>
      <w:r w:rsidR="001A7E2D" w:rsidRPr="0005643A">
        <w:rPr>
          <w:rFonts w:eastAsia="Times New Roman"/>
          <w:lang w:eastAsia="bg-BG"/>
        </w:rPr>
        <w:t>екущия период те намаляват със 105 хил. тона или -24</w:t>
      </w:r>
      <w:r w:rsidRPr="0005643A">
        <w:rPr>
          <w:rFonts w:eastAsia="Times New Roman"/>
          <w:lang w:eastAsia="bg-BG"/>
        </w:rPr>
        <w:t>%.  При по-големите групи насипни товари, динамиката на годишна база е следната:</w:t>
      </w:r>
    </w:p>
    <w:p w:rsidR="00016B1B" w:rsidRPr="003D5468" w:rsidRDefault="00102EC7" w:rsidP="00016B1B">
      <w:pPr>
        <w:spacing w:after="120"/>
        <w:jc w:val="center"/>
        <w:rPr>
          <w:rFonts w:eastAsia="Times New Roman"/>
          <w:b/>
          <w:u w:val="single"/>
          <w:lang w:eastAsia="bg-BG"/>
        </w:rPr>
      </w:pPr>
      <w:r>
        <w:rPr>
          <w:noProof/>
          <w:lang w:eastAsia="bg-BG"/>
        </w:rPr>
        <w:drawing>
          <wp:inline distT="0" distB="0" distL="0" distR="0" wp14:anchorId="1C3AA6AF" wp14:editId="11193DE7">
            <wp:extent cx="4542367" cy="2743200"/>
            <wp:effectExtent l="0" t="0" r="10795" b="19050"/>
            <wp:docPr id="13" name="Диаграма 13">
              <a:extLst xmlns:a="http://schemas.openxmlformats.org/drawingml/2006/main">
                <a:ext uri="{FF2B5EF4-FFF2-40B4-BE49-F238E27FC236}">
                  <a16:creationId xmlns:a16="http://schemas.microsoft.com/office/drawing/2014/main" id="{8EAB5362-6119-457A-9CB5-16E325765C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43E7E" w:rsidRPr="00A1403B" w:rsidRDefault="00443E7E" w:rsidP="00443E7E">
      <w:pPr>
        <w:numPr>
          <w:ilvl w:val="3"/>
          <w:numId w:val="1"/>
        </w:numPr>
        <w:spacing w:after="120"/>
        <w:ind w:firstLine="483"/>
        <w:jc w:val="both"/>
        <w:rPr>
          <w:rFonts w:eastAsia="Times New Roman"/>
          <w:lang w:eastAsia="bg-BG"/>
        </w:rPr>
      </w:pPr>
      <w:r w:rsidRPr="00A1403B">
        <w:rPr>
          <w:rFonts w:eastAsia="Times New Roman"/>
          <w:lang w:eastAsia="bg-BG"/>
        </w:rPr>
        <w:t xml:space="preserve">Обработените количества </w:t>
      </w:r>
      <w:r w:rsidRPr="00A1403B">
        <w:rPr>
          <w:rFonts w:eastAsia="Times New Roman"/>
          <w:b/>
          <w:lang w:eastAsia="bg-BG"/>
        </w:rPr>
        <w:t>въглища</w:t>
      </w:r>
      <w:r w:rsidR="001A7E2D" w:rsidRPr="00A1403B">
        <w:rPr>
          <w:rFonts w:eastAsia="Times New Roman"/>
          <w:lang w:eastAsia="bg-BG"/>
        </w:rPr>
        <w:t xml:space="preserve"> са в размер на 122</w:t>
      </w:r>
      <w:r w:rsidRPr="00A1403B">
        <w:rPr>
          <w:rFonts w:eastAsia="Times New Roman"/>
          <w:lang w:eastAsia="bg-BG"/>
        </w:rPr>
        <w:t xml:space="preserve"> хил</w:t>
      </w:r>
      <w:r w:rsidR="001A7E2D" w:rsidRPr="00A1403B">
        <w:rPr>
          <w:rFonts w:eastAsia="Times New Roman"/>
          <w:lang w:eastAsia="bg-BG"/>
        </w:rPr>
        <w:t>.</w:t>
      </w:r>
      <w:r w:rsidR="00341BAE" w:rsidRPr="00A1403B">
        <w:rPr>
          <w:rFonts w:eastAsia="Times New Roman"/>
          <w:lang w:eastAsia="bg-BG"/>
        </w:rPr>
        <w:t xml:space="preserve"> </w:t>
      </w:r>
      <w:r w:rsidR="001A7E2D" w:rsidRPr="00A1403B">
        <w:rPr>
          <w:rFonts w:eastAsia="Times New Roman"/>
          <w:lang w:eastAsia="bg-BG"/>
        </w:rPr>
        <w:t>тона за текущата година при 249</w:t>
      </w:r>
      <w:r w:rsidRPr="00A1403B">
        <w:rPr>
          <w:rFonts w:eastAsia="Times New Roman"/>
          <w:lang w:eastAsia="bg-BG"/>
        </w:rPr>
        <w:t xml:space="preserve"> хил</w:t>
      </w:r>
      <w:r w:rsidR="001A7E2D" w:rsidRPr="00A1403B">
        <w:rPr>
          <w:rFonts w:eastAsia="Times New Roman"/>
          <w:lang w:eastAsia="bg-BG"/>
        </w:rPr>
        <w:t>.</w:t>
      </w:r>
      <w:r w:rsidR="00341BAE" w:rsidRPr="00A1403B">
        <w:rPr>
          <w:rFonts w:eastAsia="Times New Roman"/>
          <w:lang w:eastAsia="bg-BG"/>
        </w:rPr>
        <w:t xml:space="preserve"> </w:t>
      </w:r>
      <w:r w:rsidR="001A7E2D" w:rsidRPr="00A1403B">
        <w:rPr>
          <w:rFonts w:eastAsia="Times New Roman"/>
          <w:lang w:eastAsia="bg-BG"/>
        </w:rPr>
        <w:t>тона за предходната 201</w:t>
      </w:r>
      <w:r w:rsidR="00A16222" w:rsidRPr="00A1403B">
        <w:rPr>
          <w:rFonts w:eastAsia="Times New Roman"/>
          <w:lang w:val="en-US" w:eastAsia="bg-BG"/>
        </w:rPr>
        <w:t>8</w:t>
      </w:r>
      <w:r w:rsidR="001A7E2D" w:rsidRPr="00A1403B">
        <w:rPr>
          <w:rFonts w:eastAsia="Times New Roman"/>
          <w:lang w:eastAsia="bg-BG"/>
        </w:rPr>
        <w:t>г. (-127</w:t>
      </w:r>
      <w:r w:rsidR="0005643A" w:rsidRPr="00A1403B">
        <w:rPr>
          <w:rFonts w:eastAsia="Times New Roman"/>
          <w:lang w:eastAsia="bg-BG"/>
        </w:rPr>
        <w:t xml:space="preserve"> </w:t>
      </w:r>
      <w:r w:rsidR="001A7E2D" w:rsidRPr="00A1403B">
        <w:rPr>
          <w:rFonts w:eastAsia="Times New Roman"/>
          <w:lang w:eastAsia="bg-BG"/>
        </w:rPr>
        <w:t>хил. тона; -5</w:t>
      </w:r>
      <w:r w:rsidR="00BC0EAA" w:rsidRPr="00A1403B">
        <w:rPr>
          <w:rFonts w:eastAsia="Times New Roman"/>
          <w:lang w:val="en-US" w:eastAsia="bg-BG"/>
        </w:rPr>
        <w:t xml:space="preserve">1 </w:t>
      </w:r>
      <w:r w:rsidRPr="00A1403B">
        <w:rPr>
          <w:rFonts w:eastAsia="Times New Roman"/>
          <w:lang w:eastAsia="bg-BG"/>
        </w:rPr>
        <w:t xml:space="preserve">%). </w:t>
      </w:r>
    </w:p>
    <w:p w:rsidR="00443E7E" w:rsidRPr="00A1403B" w:rsidRDefault="00443E7E" w:rsidP="00443E7E">
      <w:pPr>
        <w:numPr>
          <w:ilvl w:val="3"/>
          <w:numId w:val="1"/>
        </w:numPr>
        <w:spacing w:after="120"/>
        <w:ind w:firstLine="483"/>
        <w:jc w:val="both"/>
        <w:rPr>
          <w:rFonts w:eastAsia="Times New Roman"/>
          <w:color w:val="FF0000"/>
          <w:lang w:eastAsia="bg-BG"/>
        </w:rPr>
      </w:pPr>
      <w:r w:rsidRPr="00A1403B">
        <w:rPr>
          <w:rFonts w:eastAsia="Times New Roman"/>
          <w:b/>
          <w:lang w:eastAsia="bg-BG"/>
        </w:rPr>
        <w:t>Зърнените храни и фуражи</w:t>
      </w:r>
      <w:r w:rsidR="0005643A" w:rsidRPr="00A1403B">
        <w:rPr>
          <w:rFonts w:eastAsia="Times New Roman"/>
          <w:b/>
          <w:lang w:eastAsia="bg-BG"/>
        </w:rPr>
        <w:t xml:space="preserve"> през 2019 значително</w:t>
      </w:r>
      <w:r w:rsidRPr="00A1403B">
        <w:rPr>
          <w:rFonts w:eastAsia="Times New Roman"/>
          <w:b/>
          <w:lang w:eastAsia="bg-BG"/>
        </w:rPr>
        <w:t xml:space="preserve"> </w:t>
      </w:r>
      <w:r w:rsidR="0005643A" w:rsidRPr="00A1403B">
        <w:rPr>
          <w:rFonts w:eastAsia="Times New Roman"/>
          <w:b/>
          <w:lang w:eastAsia="bg-BG"/>
        </w:rPr>
        <w:t>увеличиха</w:t>
      </w:r>
      <w:r w:rsidRPr="00A1403B">
        <w:rPr>
          <w:rFonts w:eastAsia="Times New Roman"/>
          <w:b/>
          <w:lang w:eastAsia="bg-BG"/>
        </w:rPr>
        <w:t xml:space="preserve"> обема си</w:t>
      </w:r>
      <w:r w:rsidRPr="00A1403B">
        <w:rPr>
          <w:rFonts w:eastAsia="Times New Roman"/>
          <w:lang w:eastAsia="bg-BG"/>
        </w:rPr>
        <w:t xml:space="preserve"> в сравнение с предходната</w:t>
      </w:r>
      <w:r w:rsidR="001014FF" w:rsidRPr="00A1403B">
        <w:rPr>
          <w:rFonts w:eastAsia="Times New Roman"/>
          <w:lang w:eastAsia="bg-BG"/>
        </w:rPr>
        <w:t xml:space="preserve"> година  с общо количество от 101 хил.</w:t>
      </w:r>
      <w:r w:rsidR="00341BAE" w:rsidRPr="00A1403B">
        <w:rPr>
          <w:rFonts w:eastAsia="Times New Roman"/>
          <w:lang w:eastAsia="bg-BG"/>
        </w:rPr>
        <w:t xml:space="preserve"> </w:t>
      </w:r>
      <w:r w:rsidR="001014FF" w:rsidRPr="00A1403B">
        <w:rPr>
          <w:rFonts w:eastAsia="Times New Roman"/>
          <w:lang w:eastAsia="bg-BG"/>
        </w:rPr>
        <w:t>тона, при 68 хил.</w:t>
      </w:r>
      <w:r w:rsidR="00341BAE" w:rsidRPr="00A1403B">
        <w:rPr>
          <w:rFonts w:eastAsia="Times New Roman"/>
          <w:lang w:eastAsia="bg-BG"/>
        </w:rPr>
        <w:t xml:space="preserve"> </w:t>
      </w:r>
      <w:r w:rsidR="001014FF" w:rsidRPr="00A1403B">
        <w:rPr>
          <w:rFonts w:eastAsia="Times New Roman"/>
          <w:lang w:eastAsia="bg-BG"/>
        </w:rPr>
        <w:t>тона за 2018</w:t>
      </w:r>
      <w:r w:rsidR="0005643A" w:rsidRPr="00A1403B">
        <w:rPr>
          <w:rFonts w:eastAsia="Times New Roman"/>
          <w:lang w:eastAsia="bg-BG"/>
        </w:rPr>
        <w:t xml:space="preserve"> </w:t>
      </w:r>
      <w:r w:rsidRPr="00A1403B">
        <w:rPr>
          <w:rFonts w:eastAsia="Times New Roman"/>
          <w:lang w:eastAsia="bg-BG"/>
        </w:rPr>
        <w:t>г.  Това се дължи на фактори от пазарен, производствен и стопански характер</w:t>
      </w:r>
      <w:r w:rsidR="0019674C" w:rsidRPr="00A1403B">
        <w:rPr>
          <w:rFonts w:eastAsia="Times New Roman"/>
          <w:lang w:eastAsia="bg-BG"/>
        </w:rPr>
        <w:t>.</w:t>
      </w:r>
    </w:p>
    <w:p w:rsidR="00443E7E" w:rsidRPr="00A1403B" w:rsidRDefault="00443E7E" w:rsidP="00443E7E">
      <w:pPr>
        <w:numPr>
          <w:ilvl w:val="3"/>
          <w:numId w:val="1"/>
        </w:numPr>
        <w:spacing w:after="120"/>
        <w:ind w:firstLine="483"/>
        <w:jc w:val="both"/>
        <w:rPr>
          <w:rFonts w:eastAsia="Times New Roman"/>
          <w:lang w:eastAsia="bg-BG"/>
        </w:rPr>
      </w:pPr>
      <w:r w:rsidRPr="00A1403B">
        <w:rPr>
          <w:rFonts w:eastAsia="Times New Roman"/>
          <w:b/>
          <w:lang w:eastAsia="bg-BG"/>
        </w:rPr>
        <w:t>Насипните химикали и торове</w:t>
      </w:r>
      <w:r w:rsidRPr="00A1403B">
        <w:rPr>
          <w:rFonts w:eastAsia="Times New Roman"/>
          <w:lang w:eastAsia="bg-BG"/>
        </w:rPr>
        <w:t xml:space="preserve"> отчитат</w:t>
      </w:r>
      <w:r w:rsidR="001302A8" w:rsidRPr="00A1403B">
        <w:rPr>
          <w:rFonts w:eastAsia="Times New Roman"/>
          <w:b/>
          <w:lang w:eastAsia="bg-BG"/>
        </w:rPr>
        <w:t xml:space="preserve"> увеличение </w:t>
      </w:r>
      <w:r w:rsidR="001014FF" w:rsidRPr="00A1403B">
        <w:rPr>
          <w:rFonts w:eastAsia="Times New Roman"/>
          <w:lang w:eastAsia="bg-BG"/>
        </w:rPr>
        <w:t>– до 45</w:t>
      </w:r>
      <w:r w:rsidRPr="00A1403B">
        <w:rPr>
          <w:rFonts w:eastAsia="Times New Roman"/>
          <w:lang w:eastAsia="bg-BG"/>
        </w:rPr>
        <w:t xml:space="preserve"> хил.</w:t>
      </w:r>
      <w:r w:rsidR="00341BAE" w:rsidRPr="00A1403B">
        <w:rPr>
          <w:rFonts w:eastAsia="Times New Roman"/>
          <w:lang w:eastAsia="bg-BG"/>
        </w:rPr>
        <w:t xml:space="preserve"> </w:t>
      </w:r>
      <w:r w:rsidRPr="00A1403B">
        <w:rPr>
          <w:rFonts w:eastAsia="Times New Roman"/>
          <w:lang w:eastAsia="bg-BG"/>
        </w:rPr>
        <w:t xml:space="preserve">тона за текущата година при </w:t>
      </w:r>
      <w:r w:rsidR="001014FF" w:rsidRPr="00A1403B">
        <w:rPr>
          <w:rFonts w:eastAsia="Times New Roman"/>
          <w:lang w:eastAsia="bg-BG"/>
        </w:rPr>
        <w:t>35</w:t>
      </w:r>
      <w:r w:rsidRPr="00A1403B">
        <w:rPr>
          <w:rFonts w:eastAsia="Times New Roman"/>
          <w:lang w:eastAsia="bg-BG"/>
        </w:rPr>
        <w:t xml:space="preserve"> хил. тона за предходната 201</w:t>
      </w:r>
      <w:r w:rsidR="001014FF" w:rsidRPr="00A1403B">
        <w:rPr>
          <w:rFonts w:eastAsia="Times New Roman"/>
          <w:lang w:eastAsia="bg-BG"/>
        </w:rPr>
        <w:t>8</w:t>
      </w:r>
      <w:r w:rsidR="001302A8" w:rsidRPr="00A1403B">
        <w:rPr>
          <w:rFonts w:eastAsia="Times New Roman"/>
          <w:lang w:eastAsia="bg-BG"/>
        </w:rPr>
        <w:t xml:space="preserve"> </w:t>
      </w:r>
      <w:r w:rsidR="001014FF" w:rsidRPr="00A1403B">
        <w:rPr>
          <w:rFonts w:eastAsia="Times New Roman"/>
          <w:lang w:eastAsia="bg-BG"/>
        </w:rPr>
        <w:t xml:space="preserve">г. Така се измерва увеличение от </w:t>
      </w:r>
      <w:r w:rsidR="0005643A" w:rsidRPr="00A1403B">
        <w:rPr>
          <w:rFonts w:eastAsia="Times New Roman"/>
          <w:lang w:eastAsia="bg-BG"/>
        </w:rPr>
        <w:t xml:space="preserve">приблизително 10 </w:t>
      </w:r>
      <w:r w:rsidR="001014FF" w:rsidRPr="00A1403B">
        <w:rPr>
          <w:rFonts w:eastAsia="Times New Roman"/>
          <w:lang w:eastAsia="bg-BG"/>
        </w:rPr>
        <w:t>хил.</w:t>
      </w:r>
      <w:r w:rsidR="00341BAE" w:rsidRPr="00A1403B">
        <w:rPr>
          <w:rFonts w:eastAsia="Times New Roman"/>
          <w:lang w:eastAsia="bg-BG"/>
        </w:rPr>
        <w:t xml:space="preserve"> </w:t>
      </w:r>
      <w:r w:rsidR="001014FF" w:rsidRPr="00A1403B">
        <w:rPr>
          <w:rFonts w:eastAsia="Times New Roman"/>
          <w:lang w:eastAsia="bg-BG"/>
        </w:rPr>
        <w:t>тона или -2</w:t>
      </w:r>
      <w:r w:rsidR="0005643A" w:rsidRPr="00A1403B">
        <w:rPr>
          <w:rFonts w:eastAsia="Times New Roman"/>
          <w:lang w:eastAsia="bg-BG"/>
        </w:rPr>
        <w:t>9</w:t>
      </w:r>
      <w:r w:rsidRPr="00A1403B">
        <w:rPr>
          <w:rFonts w:eastAsia="Times New Roman"/>
          <w:lang w:eastAsia="bg-BG"/>
        </w:rPr>
        <w:t xml:space="preserve">%. </w:t>
      </w:r>
      <w:r w:rsidR="00A72147" w:rsidRPr="00A1403B">
        <w:rPr>
          <w:noProof/>
        </w:rPr>
        <w:t>Силно конкурентната ниша на търговията с химикали и торове за аграрния сектор сегментира локалния пазар, като производителите и вносители ползват услугите на различните пристанищни оператори в регион Русе.</w:t>
      </w:r>
    </w:p>
    <w:p w:rsidR="00443E7E" w:rsidRPr="0067662A" w:rsidRDefault="00443E7E" w:rsidP="00443E7E">
      <w:pPr>
        <w:numPr>
          <w:ilvl w:val="3"/>
          <w:numId w:val="1"/>
        </w:numPr>
        <w:spacing w:after="120"/>
        <w:ind w:firstLine="483"/>
        <w:jc w:val="both"/>
        <w:rPr>
          <w:rFonts w:eastAsia="Times New Roman"/>
          <w:lang w:eastAsia="bg-BG"/>
        </w:rPr>
      </w:pPr>
      <w:r w:rsidRPr="0067662A">
        <w:t>Количествата</w:t>
      </w:r>
      <w:r w:rsidRPr="0067662A">
        <w:rPr>
          <w:b/>
        </w:rPr>
        <w:t xml:space="preserve"> кокс </w:t>
      </w:r>
      <w:r w:rsidR="001014FF" w:rsidRPr="0067662A">
        <w:t>се увеличават от</w:t>
      </w:r>
      <w:r w:rsidRPr="0067662A">
        <w:t xml:space="preserve"> нивото на обработка от предходната година</w:t>
      </w:r>
      <w:r w:rsidRPr="0067662A">
        <w:rPr>
          <w:b/>
        </w:rPr>
        <w:t xml:space="preserve"> </w:t>
      </w:r>
      <w:r w:rsidRPr="0067662A">
        <w:t>–</w:t>
      </w:r>
      <w:r w:rsidR="001014FF" w:rsidRPr="0067662A">
        <w:t xml:space="preserve"> за текущата те възлизат на 23,4 хил.</w:t>
      </w:r>
      <w:r w:rsidR="00341BAE" w:rsidRPr="0067662A">
        <w:t xml:space="preserve"> </w:t>
      </w:r>
      <w:r w:rsidR="001014FF" w:rsidRPr="0067662A">
        <w:t>тона при 16,6</w:t>
      </w:r>
      <w:r w:rsidRPr="0067662A">
        <w:t xml:space="preserve"> хил.</w:t>
      </w:r>
      <w:r w:rsidR="00341BAE" w:rsidRPr="0067662A">
        <w:t xml:space="preserve"> </w:t>
      </w:r>
      <w:r w:rsidRPr="0067662A">
        <w:t>тона към 31.1</w:t>
      </w:r>
      <w:r w:rsidR="001014FF" w:rsidRPr="0067662A">
        <w:t>2.2018</w:t>
      </w:r>
      <w:r w:rsidRPr="0067662A">
        <w:t>г. Т</w:t>
      </w:r>
      <w:r w:rsidR="00651CB8" w:rsidRPr="0067662A">
        <w:t xml:space="preserve">ака се отбелязва </w:t>
      </w:r>
      <w:r w:rsidR="001014FF" w:rsidRPr="0067662A">
        <w:t>увеличение от 7 хил.</w:t>
      </w:r>
      <w:r w:rsidR="00341BAE" w:rsidRPr="0067662A">
        <w:t xml:space="preserve"> </w:t>
      </w:r>
      <w:r w:rsidR="001014FF" w:rsidRPr="0067662A">
        <w:t xml:space="preserve">тона или  </w:t>
      </w:r>
      <w:r w:rsidR="0067662A">
        <w:t>41</w:t>
      </w:r>
      <w:r w:rsidRPr="0067662A">
        <w:t>%.</w:t>
      </w:r>
      <w:r w:rsidR="00341BAE" w:rsidRPr="0067662A">
        <w:t xml:space="preserve"> </w:t>
      </w:r>
    </w:p>
    <w:p w:rsidR="00443E7E" w:rsidRPr="00884CBB" w:rsidRDefault="001014FF" w:rsidP="00443E7E">
      <w:pPr>
        <w:numPr>
          <w:ilvl w:val="3"/>
          <w:numId w:val="1"/>
        </w:numPr>
        <w:spacing w:after="120"/>
        <w:ind w:firstLine="483"/>
        <w:jc w:val="both"/>
        <w:rPr>
          <w:rFonts w:eastAsia="Times New Roman"/>
          <w:lang w:eastAsia="bg-BG"/>
        </w:rPr>
      </w:pPr>
      <w:r w:rsidRPr="00884CBB">
        <w:rPr>
          <w:b/>
        </w:rPr>
        <w:lastRenderedPageBreak/>
        <w:t>Намаление</w:t>
      </w:r>
      <w:r w:rsidR="00443E7E" w:rsidRPr="00884CBB">
        <w:rPr>
          <w:b/>
        </w:rPr>
        <w:t xml:space="preserve"> се отбелязва при обработката на глина</w:t>
      </w:r>
      <w:r w:rsidR="00443E7E" w:rsidRPr="00884CBB">
        <w:t>. За текущата година са обрабо</w:t>
      </w:r>
      <w:r w:rsidRPr="00884CBB">
        <w:t>тени 33 хил.</w:t>
      </w:r>
      <w:r w:rsidR="00341BAE" w:rsidRPr="00884CBB">
        <w:t xml:space="preserve"> </w:t>
      </w:r>
      <w:r w:rsidRPr="00884CBB">
        <w:t>тона, докато за 2018</w:t>
      </w:r>
      <w:r w:rsidR="00AE73F4">
        <w:t xml:space="preserve"> </w:t>
      </w:r>
      <w:r w:rsidR="00443E7E" w:rsidRPr="00884CBB">
        <w:t>г.</w:t>
      </w:r>
      <w:r w:rsidRPr="00884CBB">
        <w:t xml:space="preserve"> количествата са възлизали на 43 хил.</w:t>
      </w:r>
      <w:r w:rsidR="00341BAE" w:rsidRPr="00884CBB">
        <w:t xml:space="preserve"> </w:t>
      </w:r>
      <w:r w:rsidRPr="00884CBB">
        <w:t>тона (-10 хил. тона или -23</w:t>
      </w:r>
      <w:r w:rsidR="00443E7E" w:rsidRPr="00884CBB">
        <w:t>%).</w:t>
      </w:r>
    </w:p>
    <w:p w:rsidR="006635B1" w:rsidRPr="003D5468" w:rsidRDefault="00884CBB" w:rsidP="00AE73F4">
      <w:pPr>
        <w:numPr>
          <w:ilvl w:val="3"/>
          <w:numId w:val="1"/>
        </w:numPr>
        <w:spacing w:after="120"/>
        <w:ind w:firstLine="483"/>
        <w:jc w:val="both"/>
      </w:pPr>
      <w:r w:rsidRPr="00884CBB">
        <w:t xml:space="preserve">Общата сума на </w:t>
      </w:r>
      <w:r w:rsidRPr="00884CBB">
        <w:rPr>
          <w:b/>
        </w:rPr>
        <w:t>обработените интертни материали</w:t>
      </w:r>
      <w:r w:rsidRPr="00884CBB">
        <w:t xml:space="preserve"> през 2019г. (включително и глина) възлиза на 36 хил. тона. </w:t>
      </w:r>
      <w:r w:rsidR="001014FF" w:rsidRPr="00884CBB">
        <w:rPr>
          <w:b/>
        </w:rPr>
        <w:t xml:space="preserve"> </w:t>
      </w:r>
      <w:r w:rsidRPr="00884CBB">
        <w:t>З</w:t>
      </w:r>
      <w:r w:rsidR="001014FF" w:rsidRPr="00884CBB">
        <w:t>а 2018</w:t>
      </w:r>
      <w:r w:rsidRPr="00884CBB">
        <w:t xml:space="preserve"> </w:t>
      </w:r>
      <w:r w:rsidR="001014FF" w:rsidRPr="00884CBB">
        <w:t xml:space="preserve">г. обработката </w:t>
      </w:r>
      <w:r w:rsidRPr="00884CBB">
        <w:t xml:space="preserve">на тази група е </w:t>
      </w:r>
      <w:r w:rsidR="001014FF" w:rsidRPr="00884CBB">
        <w:t xml:space="preserve">възлизала </w:t>
      </w:r>
      <w:r w:rsidRPr="00884CBB">
        <w:t>5</w:t>
      </w:r>
      <w:r w:rsidR="00B25CB2" w:rsidRPr="00884CBB">
        <w:t>5 хил.</w:t>
      </w:r>
      <w:r w:rsidR="00341BAE" w:rsidRPr="00884CBB">
        <w:t xml:space="preserve"> </w:t>
      </w:r>
      <w:r w:rsidR="00B25CB2" w:rsidRPr="00884CBB">
        <w:t>тона.</w:t>
      </w:r>
      <w:r w:rsidR="00016B1B" w:rsidRPr="00884CBB">
        <w:t xml:space="preserve"> </w:t>
      </w:r>
    </w:p>
    <w:p w:rsidR="00DD76F5" w:rsidRPr="003D5468" w:rsidRDefault="00443E7E" w:rsidP="00DD76F5">
      <w:pPr>
        <w:spacing w:after="120"/>
        <w:ind w:firstLine="709"/>
        <w:jc w:val="both"/>
        <w:rPr>
          <w:rFonts w:eastAsia="Times New Roman"/>
          <w:lang w:eastAsia="bg-BG"/>
        </w:rPr>
      </w:pPr>
      <w:r w:rsidRPr="002C3922">
        <w:rPr>
          <w:rFonts w:eastAsia="Times New Roman"/>
          <w:b/>
          <w:u w:val="single"/>
          <w:lang w:eastAsia="bg-BG"/>
        </w:rPr>
        <w:t>Генерални товари</w:t>
      </w:r>
      <w:r w:rsidRPr="002C3922">
        <w:rPr>
          <w:rFonts w:eastAsia="Times New Roman"/>
          <w:lang w:eastAsia="bg-BG"/>
        </w:rPr>
        <w:t xml:space="preserve"> </w:t>
      </w:r>
      <w:r w:rsidRPr="002C3922">
        <w:rPr>
          <w:rFonts w:eastAsia="Times New Roman"/>
          <w:b/>
          <w:lang w:eastAsia="bg-BG"/>
        </w:rPr>
        <w:t>–</w:t>
      </w:r>
      <w:r w:rsidRPr="002C3922">
        <w:rPr>
          <w:rFonts w:eastAsia="Times New Roman"/>
          <w:lang w:eastAsia="bg-BG"/>
        </w:rPr>
        <w:t xml:space="preserve"> </w:t>
      </w:r>
      <w:r w:rsidR="00B25CB2" w:rsidRPr="002C3922">
        <w:rPr>
          <w:rFonts w:eastAsia="Times New Roman"/>
          <w:b/>
          <w:lang w:eastAsia="bg-BG"/>
        </w:rPr>
        <w:t>през 2019</w:t>
      </w:r>
      <w:r w:rsidR="002C3922" w:rsidRPr="002C3922">
        <w:rPr>
          <w:rFonts w:eastAsia="Times New Roman"/>
          <w:b/>
          <w:lang w:eastAsia="bg-BG"/>
        </w:rPr>
        <w:t xml:space="preserve"> </w:t>
      </w:r>
      <w:r w:rsidR="00AE73F4">
        <w:rPr>
          <w:rFonts w:eastAsia="Times New Roman"/>
          <w:b/>
          <w:lang w:eastAsia="bg-BG"/>
        </w:rPr>
        <w:t>г. те демонстрираха тенденция н</w:t>
      </w:r>
      <w:r w:rsidRPr="002C3922">
        <w:rPr>
          <w:rFonts w:eastAsia="Times New Roman"/>
          <w:b/>
          <w:lang w:eastAsia="bg-BG"/>
        </w:rPr>
        <w:t xml:space="preserve">а </w:t>
      </w:r>
      <w:r w:rsidR="002C3922" w:rsidRPr="002C3922">
        <w:rPr>
          <w:rFonts w:eastAsia="Times New Roman"/>
          <w:b/>
          <w:lang w:eastAsia="bg-BG"/>
        </w:rPr>
        <w:t>леко намаление</w:t>
      </w:r>
      <w:r w:rsidRPr="002C3922">
        <w:rPr>
          <w:rFonts w:eastAsia="Times New Roman"/>
          <w:lang w:eastAsia="bg-BG"/>
        </w:rPr>
        <w:t>.</w:t>
      </w:r>
      <w:r w:rsidR="002C3922" w:rsidRPr="002C3922">
        <w:t xml:space="preserve"> В абсолютна стойност </w:t>
      </w:r>
      <w:r w:rsidR="002C3922" w:rsidRPr="002C3922">
        <w:rPr>
          <w:b/>
        </w:rPr>
        <w:t>от 13 хил. физ. тона или -8%</w:t>
      </w:r>
      <w:r w:rsidR="002C3922" w:rsidRPr="002C3922">
        <w:t>.</w:t>
      </w:r>
      <w:r w:rsidRPr="002C3922">
        <w:rPr>
          <w:rFonts w:eastAsia="Times New Roman"/>
          <w:lang w:eastAsia="bg-BG"/>
        </w:rPr>
        <w:t xml:space="preserve"> </w:t>
      </w:r>
      <w:r w:rsidR="002C3922" w:rsidRPr="002C3922">
        <w:rPr>
          <w:rFonts w:eastAsia="Times New Roman"/>
          <w:lang w:eastAsia="bg-BG"/>
        </w:rPr>
        <w:t>Като процентно съотношение, генералните товари заемат 3</w:t>
      </w:r>
      <w:r w:rsidR="00B25CB2" w:rsidRPr="002C3922">
        <w:t xml:space="preserve">0% </w:t>
      </w:r>
      <w:r w:rsidR="002C3922" w:rsidRPr="002C3922">
        <w:t>от общият товарооборот</w:t>
      </w:r>
      <w:r w:rsidR="00B25CB2" w:rsidRPr="002C3922">
        <w:t>, при 26</w:t>
      </w:r>
      <w:r w:rsidRPr="002C3922">
        <w:t>% за предходната година. Динамиката при основните групи генерални товари на годишна база е следната</w:t>
      </w:r>
      <w:r w:rsidR="00DD76F5" w:rsidRPr="002C3922">
        <w:t>:</w:t>
      </w:r>
    </w:p>
    <w:p w:rsidR="00760855" w:rsidRPr="003D5468" w:rsidRDefault="00102EC7" w:rsidP="00760855">
      <w:pPr>
        <w:spacing w:after="120"/>
        <w:ind w:left="426"/>
        <w:jc w:val="center"/>
        <w:rPr>
          <w:sz w:val="26"/>
          <w:szCs w:val="26"/>
        </w:rPr>
      </w:pPr>
      <w:r>
        <w:rPr>
          <w:noProof/>
          <w:lang w:eastAsia="bg-BG"/>
        </w:rPr>
        <w:drawing>
          <wp:inline distT="0" distB="0" distL="0" distR="0" wp14:anchorId="10686E7C" wp14:editId="11633AEE">
            <wp:extent cx="4542367" cy="2743200"/>
            <wp:effectExtent l="0" t="0" r="10795" b="19050"/>
            <wp:docPr id="16" name="Диаграма 16">
              <a:extLst xmlns:a="http://schemas.openxmlformats.org/drawingml/2006/main">
                <a:ext uri="{FF2B5EF4-FFF2-40B4-BE49-F238E27FC236}">
                  <a16:creationId xmlns:a16="http://schemas.microsoft.com/office/drawing/2014/main" id="{ED3EC2B1-F895-4D7F-82B7-24CE5D2CB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3E7E" w:rsidRPr="003D5468" w:rsidRDefault="00443E7E" w:rsidP="00760855">
      <w:pPr>
        <w:spacing w:after="120"/>
        <w:ind w:left="426"/>
        <w:jc w:val="center"/>
        <w:rPr>
          <w:sz w:val="26"/>
          <w:szCs w:val="26"/>
        </w:rPr>
      </w:pPr>
    </w:p>
    <w:p w:rsidR="00443E7E" w:rsidRPr="000F0CF3" w:rsidRDefault="00443E7E" w:rsidP="00443E7E">
      <w:pPr>
        <w:numPr>
          <w:ilvl w:val="3"/>
          <w:numId w:val="1"/>
        </w:numPr>
        <w:spacing w:after="120"/>
        <w:ind w:firstLine="483"/>
        <w:jc w:val="both"/>
        <w:rPr>
          <w:rFonts w:eastAsia="Times New Roman"/>
          <w:lang w:eastAsia="bg-BG"/>
        </w:rPr>
      </w:pPr>
      <w:r w:rsidRPr="000F0CF3">
        <w:rPr>
          <w:b/>
        </w:rPr>
        <w:t>Метали:</w:t>
      </w:r>
      <w:r w:rsidR="00B25CB2" w:rsidRPr="000F0CF3">
        <w:t xml:space="preserve"> 103</w:t>
      </w:r>
      <w:r w:rsidRPr="000F0CF3">
        <w:t xml:space="preserve"> хил.</w:t>
      </w:r>
      <w:r w:rsidR="00341BAE" w:rsidRPr="000F0CF3">
        <w:t xml:space="preserve"> </w:t>
      </w:r>
      <w:r w:rsidRPr="000F0CF3">
        <w:t>тона за от</w:t>
      </w:r>
      <w:r w:rsidR="00B25CB2" w:rsidRPr="000F0CF3">
        <w:t>четния период при 109</w:t>
      </w:r>
      <w:r w:rsidRPr="000F0CF3">
        <w:t xml:space="preserve"> хил.</w:t>
      </w:r>
      <w:r w:rsidR="00341BAE" w:rsidRPr="000F0CF3">
        <w:t xml:space="preserve"> </w:t>
      </w:r>
      <w:r w:rsidRPr="000F0CF3">
        <w:t>тона за 201</w:t>
      </w:r>
      <w:r w:rsidR="00B25CB2" w:rsidRPr="000F0CF3">
        <w:t>8</w:t>
      </w:r>
      <w:r w:rsidRPr="000F0CF3">
        <w:t xml:space="preserve">г. – </w:t>
      </w:r>
      <w:r w:rsidR="00651CB8" w:rsidRPr="000F0CF3">
        <w:rPr>
          <w:b/>
        </w:rPr>
        <w:t>отчита се</w:t>
      </w:r>
      <w:r w:rsidR="00B25CB2" w:rsidRPr="000F0CF3">
        <w:rPr>
          <w:b/>
        </w:rPr>
        <w:t xml:space="preserve"> намаление от 6 хил.</w:t>
      </w:r>
      <w:r w:rsidR="00341BAE" w:rsidRPr="000F0CF3">
        <w:rPr>
          <w:b/>
        </w:rPr>
        <w:t xml:space="preserve"> </w:t>
      </w:r>
      <w:r w:rsidR="00B25CB2" w:rsidRPr="000F0CF3">
        <w:rPr>
          <w:b/>
        </w:rPr>
        <w:t>тона или -6</w:t>
      </w:r>
      <w:r w:rsidRPr="000F0CF3">
        <w:rPr>
          <w:b/>
        </w:rPr>
        <w:t>%</w:t>
      </w:r>
      <w:r w:rsidR="00750DC1" w:rsidRPr="000F0CF3">
        <w:t>.</w:t>
      </w:r>
      <w:r w:rsidR="00750DC1" w:rsidRPr="000F0CF3">
        <w:rPr>
          <w:noProof/>
          <w:sz w:val="26"/>
          <w:szCs w:val="26"/>
        </w:rPr>
        <w:t xml:space="preserve"> </w:t>
      </w:r>
      <w:r w:rsidR="00750DC1" w:rsidRPr="000F0CF3">
        <w:rPr>
          <w:noProof/>
        </w:rPr>
        <w:t>Динамиката в този бранш е изключително висока и този тип товар се категоризира като труден за привличане, поради високата си пазарна стойност. Конкуренцията в региона, по отношение на предлаганите цени за обработка в този случай се изразява най-силно.</w:t>
      </w:r>
    </w:p>
    <w:p w:rsidR="00443E7E" w:rsidRPr="000F0CF3" w:rsidRDefault="00443E7E" w:rsidP="00443E7E">
      <w:pPr>
        <w:numPr>
          <w:ilvl w:val="3"/>
          <w:numId w:val="1"/>
        </w:numPr>
        <w:spacing w:after="120"/>
        <w:ind w:firstLine="483"/>
        <w:jc w:val="both"/>
        <w:rPr>
          <w:rFonts w:eastAsia="Times New Roman"/>
          <w:lang w:eastAsia="bg-BG"/>
        </w:rPr>
      </w:pPr>
      <w:r w:rsidRPr="000F0CF3">
        <w:t>При</w:t>
      </w:r>
      <w:r w:rsidRPr="000F0CF3">
        <w:rPr>
          <w:b/>
        </w:rPr>
        <w:t xml:space="preserve"> опакованите химикали и торове </w:t>
      </w:r>
      <w:r w:rsidRPr="000F0CF3">
        <w:t>дружеството отбелязва увеличение в обработените количества</w:t>
      </w:r>
      <w:r w:rsidRPr="000F0CF3">
        <w:rPr>
          <w:b/>
        </w:rPr>
        <w:t xml:space="preserve">. </w:t>
      </w:r>
      <w:r w:rsidR="00200842" w:rsidRPr="000F0CF3">
        <w:t>Те се възлизат на 12 хил.</w:t>
      </w:r>
      <w:r w:rsidR="00341BAE" w:rsidRPr="000F0CF3">
        <w:t xml:space="preserve"> </w:t>
      </w:r>
      <w:r w:rsidR="00200842" w:rsidRPr="000F0CF3">
        <w:t>тона при 3</w:t>
      </w:r>
      <w:r w:rsidRPr="000F0CF3">
        <w:t xml:space="preserve"> хил.</w:t>
      </w:r>
      <w:r w:rsidR="00341BAE" w:rsidRPr="000F0CF3">
        <w:t xml:space="preserve"> </w:t>
      </w:r>
      <w:r w:rsidRPr="000F0CF3">
        <w:t>тона за предходната 201</w:t>
      </w:r>
      <w:r w:rsidR="00200842" w:rsidRPr="000F0CF3">
        <w:t>8г. (+9 хил.</w:t>
      </w:r>
      <w:r w:rsidR="00341BAE" w:rsidRPr="000F0CF3">
        <w:t xml:space="preserve"> </w:t>
      </w:r>
      <w:r w:rsidR="00200842" w:rsidRPr="000F0CF3">
        <w:t>тона, +259</w:t>
      </w:r>
      <w:r w:rsidRPr="000F0CF3">
        <w:t>%).</w:t>
      </w:r>
    </w:p>
    <w:p w:rsidR="004E615A" w:rsidRPr="00C4776F" w:rsidRDefault="00443E7E" w:rsidP="0087233C">
      <w:pPr>
        <w:numPr>
          <w:ilvl w:val="3"/>
          <w:numId w:val="1"/>
        </w:numPr>
        <w:spacing w:after="120"/>
        <w:ind w:firstLine="483"/>
        <w:jc w:val="both"/>
        <w:rPr>
          <w:b/>
        </w:rPr>
      </w:pPr>
      <w:r w:rsidRPr="000F0CF3">
        <w:rPr>
          <w:b/>
        </w:rPr>
        <w:t xml:space="preserve">Машини и техника – </w:t>
      </w:r>
      <w:r w:rsidRPr="000F0CF3">
        <w:t>обработени</w:t>
      </w:r>
      <w:r w:rsidRPr="000F0CF3">
        <w:rPr>
          <w:b/>
        </w:rPr>
        <w:t xml:space="preserve"> </w:t>
      </w:r>
      <w:r w:rsidR="00200842" w:rsidRPr="000F0CF3">
        <w:t>са 17 хил. т. - за 2019</w:t>
      </w:r>
      <w:r w:rsidR="000F0CF3" w:rsidRPr="000F0CF3">
        <w:t xml:space="preserve"> </w:t>
      </w:r>
      <w:r w:rsidR="00200842" w:rsidRPr="000F0CF3">
        <w:t>г. при 31 хил. т. към 31.12.2018 г., т.е. отчита се намаление</w:t>
      </w:r>
      <w:r w:rsidRPr="000F0CF3">
        <w:t xml:space="preserve"> в сравнение с пре</w:t>
      </w:r>
      <w:r w:rsidR="00200842" w:rsidRPr="000F0CF3">
        <w:t>дходната година в размер на 14</w:t>
      </w:r>
      <w:r w:rsidRPr="000F0CF3">
        <w:t xml:space="preserve"> хил. тона. </w:t>
      </w:r>
      <w:r w:rsidRPr="000F0CF3">
        <w:rPr>
          <w:i/>
        </w:rPr>
        <w:t xml:space="preserve">Тук следва да се отбележи, че количествата преминали през Ро-Ро терминала (и отчетени отделно), са също машини и техника. </w:t>
      </w:r>
      <w:r w:rsidRPr="000F0CF3">
        <w:rPr>
          <w:b/>
          <w:i/>
        </w:rPr>
        <w:t>Така съвкупния обе</w:t>
      </w:r>
      <w:r w:rsidR="00200842" w:rsidRPr="000F0CF3">
        <w:rPr>
          <w:b/>
          <w:i/>
        </w:rPr>
        <w:t>м в тази група възлиза на 2</w:t>
      </w:r>
      <w:r w:rsidR="000F0CF3" w:rsidRPr="000F0CF3">
        <w:rPr>
          <w:b/>
          <w:i/>
        </w:rPr>
        <w:t>4</w:t>
      </w:r>
      <w:r w:rsidRPr="000F0CF3">
        <w:rPr>
          <w:b/>
          <w:i/>
        </w:rPr>
        <w:t xml:space="preserve"> хил. тона. </w:t>
      </w:r>
      <w:bookmarkEnd w:id="11"/>
    </w:p>
    <w:p w:rsidR="00C4776F" w:rsidRDefault="00C4776F" w:rsidP="00C4776F">
      <w:pPr>
        <w:spacing w:after="120"/>
        <w:ind w:left="1702"/>
        <w:jc w:val="both"/>
        <w:rPr>
          <w:b/>
        </w:rPr>
      </w:pPr>
    </w:p>
    <w:p w:rsidR="00C4776F" w:rsidRDefault="00C4776F" w:rsidP="00C4776F">
      <w:pPr>
        <w:spacing w:after="120"/>
        <w:ind w:left="1702"/>
        <w:jc w:val="both"/>
        <w:rPr>
          <w:b/>
        </w:rPr>
      </w:pPr>
    </w:p>
    <w:p w:rsidR="00C4776F" w:rsidRDefault="00C4776F" w:rsidP="00C4776F">
      <w:pPr>
        <w:spacing w:after="120"/>
        <w:ind w:left="1702"/>
        <w:jc w:val="both"/>
        <w:rPr>
          <w:b/>
        </w:rPr>
      </w:pPr>
    </w:p>
    <w:p w:rsidR="00C4776F" w:rsidRDefault="00C4776F" w:rsidP="00C4776F">
      <w:pPr>
        <w:spacing w:after="120"/>
        <w:ind w:left="1702"/>
        <w:jc w:val="both"/>
        <w:rPr>
          <w:b/>
        </w:rPr>
      </w:pPr>
    </w:p>
    <w:p w:rsidR="00C4776F" w:rsidRDefault="00C4776F" w:rsidP="00C4776F">
      <w:pPr>
        <w:spacing w:after="120"/>
        <w:ind w:left="1702"/>
        <w:jc w:val="both"/>
        <w:rPr>
          <w:b/>
        </w:rPr>
      </w:pPr>
    </w:p>
    <w:p w:rsidR="00C4776F" w:rsidRPr="0087233C" w:rsidRDefault="00C4776F" w:rsidP="00C4776F">
      <w:pPr>
        <w:spacing w:after="120"/>
        <w:ind w:left="1702"/>
        <w:jc w:val="both"/>
        <w:rPr>
          <w:b/>
        </w:rPr>
      </w:pPr>
    </w:p>
    <w:p w:rsidR="004E615A" w:rsidRPr="003D5468" w:rsidRDefault="004E615A" w:rsidP="004E615A">
      <w:pPr>
        <w:numPr>
          <w:ilvl w:val="1"/>
          <w:numId w:val="1"/>
        </w:numPr>
        <w:spacing w:before="240" w:after="120"/>
        <w:jc w:val="both"/>
        <w:rPr>
          <w:b/>
        </w:rPr>
      </w:pPr>
      <w:r w:rsidRPr="003D5468">
        <w:rPr>
          <w:b/>
        </w:rPr>
        <w:lastRenderedPageBreak/>
        <w:t>Товарооборот по направления</w:t>
      </w:r>
    </w:p>
    <w:p w:rsidR="006A0D21" w:rsidRPr="003D5468" w:rsidRDefault="00102EC7" w:rsidP="00251767">
      <w:pPr>
        <w:spacing w:after="120"/>
        <w:ind w:firstLine="426"/>
      </w:pPr>
      <w:r>
        <w:rPr>
          <w:noProof/>
          <w:lang w:eastAsia="bg-BG"/>
        </w:rPr>
        <w:drawing>
          <wp:inline distT="0" distB="0" distL="0" distR="0" wp14:anchorId="3D415275" wp14:editId="74C2BD53">
            <wp:extent cx="2781300" cy="2247900"/>
            <wp:effectExtent l="0" t="0" r="19050" b="19050"/>
            <wp:docPr id="18" name="Диаграма 18">
              <a:extLst xmlns:a="http://schemas.openxmlformats.org/drawingml/2006/main">
                <a:ext uri="{FF2B5EF4-FFF2-40B4-BE49-F238E27FC236}">
                  <a16:creationId xmlns:a16="http://schemas.microsoft.com/office/drawing/2014/main" id="{48B135F8-1708-4786-BE28-3E711CF75A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443E7E" w:rsidRPr="003D5468">
        <w:rPr>
          <w:noProof/>
          <w:lang w:eastAsia="bg-BG"/>
        </w:rPr>
        <w:drawing>
          <wp:inline distT="0" distB="0" distL="0" distR="0" wp14:anchorId="65F2DE43" wp14:editId="31458AC8">
            <wp:extent cx="2781300" cy="2247900"/>
            <wp:effectExtent l="0" t="0" r="0" b="0"/>
            <wp:docPr id="19" name="Диаграма 19">
              <a:extLst xmlns:a="http://schemas.openxmlformats.org/drawingml/2006/main">
                <a:ext uri="{FF2B5EF4-FFF2-40B4-BE49-F238E27FC236}">
                  <a16:creationId xmlns:a16="http://schemas.microsoft.com/office/drawing/2014/main" id="{48B135F8-1708-4786-BE28-3E711CF75A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F347A" w:rsidRPr="003D5468" w:rsidRDefault="009F347A" w:rsidP="00200842">
      <w:pPr>
        <w:spacing w:after="120"/>
        <w:ind w:firstLine="720"/>
        <w:jc w:val="both"/>
        <w:rPr>
          <w:rFonts w:eastAsia="Times New Roman"/>
          <w:lang w:eastAsia="bg-BG"/>
        </w:rPr>
      </w:pPr>
      <w:bookmarkStart w:id="12" w:name="_Hlk506992148"/>
      <w:r w:rsidRPr="001008EB">
        <w:rPr>
          <w:rFonts w:eastAsia="Times New Roman"/>
          <w:b/>
          <w:lang w:eastAsia="bg-BG"/>
        </w:rPr>
        <w:t>Вносът</w:t>
      </w:r>
      <w:r w:rsidRPr="001008EB">
        <w:rPr>
          <w:rFonts w:eastAsia="Times New Roman"/>
          <w:lang w:eastAsia="bg-BG"/>
        </w:rPr>
        <w:t xml:space="preserve"> генерира съществен дял в </w:t>
      </w:r>
      <w:r w:rsidR="00200842" w:rsidRPr="001008EB">
        <w:rPr>
          <w:rFonts w:eastAsia="Times New Roman"/>
          <w:lang w:eastAsia="bg-BG"/>
        </w:rPr>
        <w:t>общия товарооборот, като за 2019 г. е 64%, а за предходната 2018 г. се равнява на 73</w:t>
      </w:r>
      <w:r w:rsidRPr="001008EB">
        <w:rPr>
          <w:rFonts w:eastAsia="Times New Roman"/>
          <w:lang w:eastAsia="bg-BG"/>
        </w:rPr>
        <w:t>%.</w:t>
      </w:r>
      <w:r w:rsidRPr="003D5468">
        <w:rPr>
          <w:rFonts w:eastAsia="Times New Roman"/>
          <w:lang w:eastAsia="bg-BG"/>
        </w:rPr>
        <w:t xml:space="preserve"> </w:t>
      </w:r>
    </w:p>
    <w:p w:rsidR="009F347A" w:rsidRPr="003D5468" w:rsidRDefault="001008EB" w:rsidP="009F347A">
      <w:pPr>
        <w:spacing w:after="120"/>
        <w:ind w:firstLine="720"/>
        <w:jc w:val="both"/>
        <w:rPr>
          <w:rFonts w:eastAsia="Times New Roman"/>
          <w:lang w:eastAsia="bg-BG"/>
        </w:rPr>
      </w:pPr>
      <w:r w:rsidRPr="001008EB">
        <w:rPr>
          <w:rFonts w:eastAsia="Times New Roman"/>
          <w:lang w:eastAsia="bg-BG"/>
        </w:rPr>
        <w:t xml:space="preserve">С най-голям дял се отличават </w:t>
      </w:r>
      <w:r w:rsidRPr="0070025E">
        <w:rPr>
          <w:rFonts w:eastAsia="Times New Roman"/>
          <w:lang w:eastAsia="bg-BG"/>
        </w:rPr>
        <w:t>зърнените храни и фуражи – 72 хил. тона или 23%.</w:t>
      </w:r>
      <w:r w:rsidRPr="001008EB">
        <w:rPr>
          <w:rFonts w:eastAsia="Times New Roman"/>
          <w:lang w:eastAsia="bg-BG"/>
        </w:rPr>
        <w:t xml:space="preserve"> Следващата най-голяма група товари по направление „внос“ се явява групата на металите – формиращи близо 22 % от вносните стоки. Опакованите и насипни химикали и торове</w:t>
      </w:r>
      <w:r w:rsidRPr="001008EB">
        <w:rPr>
          <w:rFonts w:eastAsia="Times New Roman"/>
          <w:lang w:val="en-US" w:eastAsia="bg-BG"/>
        </w:rPr>
        <w:t xml:space="preserve"> – </w:t>
      </w:r>
      <w:r w:rsidRPr="001008EB">
        <w:rPr>
          <w:rFonts w:eastAsia="Times New Roman"/>
          <w:lang w:eastAsia="bg-BG"/>
        </w:rPr>
        <w:t xml:space="preserve">общо, възлизат на 52 хил. тона или 17% от вноса, </w:t>
      </w:r>
      <w:r w:rsidRPr="00194A0E">
        <w:rPr>
          <w:rFonts w:eastAsia="Times New Roman"/>
          <w:lang w:eastAsia="bg-BG"/>
        </w:rPr>
        <w:t>а насипната глина – приблизително 8 % със своите 40 хил. тона</w:t>
      </w:r>
      <w:r w:rsidRPr="001008EB">
        <w:rPr>
          <w:rFonts w:eastAsia="Times New Roman"/>
          <w:lang w:eastAsia="bg-BG"/>
        </w:rPr>
        <w:t xml:space="preserve"> </w:t>
      </w:r>
      <w:r w:rsidR="009F347A" w:rsidRPr="001008EB">
        <w:rPr>
          <w:rFonts w:eastAsia="Times New Roman"/>
          <w:lang w:eastAsia="bg-BG"/>
        </w:rPr>
        <w:t xml:space="preserve">Въпреки вече трайно редуцираните обеми, въглищата </w:t>
      </w:r>
      <w:r w:rsidR="00200842" w:rsidRPr="001008EB">
        <w:rPr>
          <w:rFonts w:eastAsia="Times New Roman"/>
          <w:lang w:eastAsia="bg-BG"/>
        </w:rPr>
        <w:t xml:space="preserve">значително намаляват като заемат </w:t>
      </w:r>
      <w:r w:rsidR="001714C4" w:rsidRPr="001008EB">
        <w:rPr>
          <w:rFonts w:eastAsia="Times New Roman"/>
          <w:lang w:eastAsia="bg-BG"/>
        </w:rPr>
        <w:t>12</w:t>
      </w:r>
      <w:r w:rsidR="009F347A" w:rsidRPr="001008EB">
        <w:rPr>
          <w:rFonts w:eastAsia="Times New Roman"/>
          <w:lang w:eastAsia="bg-BG"/>
        </w:rPr>
        <w:t xml:space="preserve">% от него. </w:t>
      </w:r>
      <w:r w:rsidR="001714C4" w:rsidRPr="001008EB">
        <w:rPr>
          <w:rFonts w:eastAsia="Times New Roman"/>
          <w:lang w:eastAsia="bg-BG"/>
        </w:rPr>
        <w:t>Коксът съставлява 8</w:t>
      </w:r>
      <w:r w:rsidR="009F347A" w:rsidRPr="001008EB">
        <w:rPr>
          <w:rFonts w:eastAsia="Times New Roman"/>
          <w:lang w:eastAsia="bg-BG"/>
        </w:rPr>
        <w:t>% от вноса.</w:t>
      </w:r>
      <w:r w:rsidR="009F347A" w:rsidRPr="003D5468">
        <w:rPr>
          <w:rFonts w:eastAsia="Times New Roman"/>
          <w:lang w:eastAsia="bg-BG"/>
        </w:rPr>
        <w:t xml:space="preserve"> </w:t>
      </w:r>
    </w:p>
    <w:p w:rsidR="009F347A" w:rsidRPr="001008EB" w:rsidRDefault="009F347A" w:rsidP="009F347A">
      <w:pPr>
        <w:spacing w:after="120"/>
        <w:ind w:firstLine="720"/>
        <w:jc w:val="both"/>
        <w:rPr>
          <w:rFonts w:eastAsia="Times New Roman"/>
          <w:lang w:eastAsia="bg-BG"/>
        </w:rPr>
      </w:pPr>
      <w:bookmarkStart w:id="13" w:name="_Hlk506992205"/>
      <w:bookmarkEnd w:id="12"/>
      <w:r w:rsidRPr="001008EB">
        <w:rPr>
          <w:rFonts w:eastAsia="Times New Roman"/>
          <w:b/>
          <w:lang w:eastAsia="bg-BG"/>
        </w:rPr>
        <w:t>В износът,</w:t>
      </w:r>
      <w:r w:rsidRPr="001008EB">
        <w:rPr>
          <w:rFonts w:eastAsia="Times New Roman"/>
          <w:lang w:eastAsia="bg-BG"/>
        </w:rPr>
        <w:t xml:space="preserve"> много съществена ч</w:t>
      </w:r>
      <w:r w:rsidR="001714C4" w:rsidRPr="001008EB">
        <w:rPr>
          <w:rFonts w:eastAsia="Times New Roman"/>
          <w:lang w:eastAsia="bg-BG"/>
        </w:rPr>
        <w:t>аст формират зърнените храни (38%) и металите (41</w:t>
      </w:r>
      <w:r w:rsidRPr="001008EB">
        <w:rPr>
          <w:rFonts w:eastAsia="Times New Roman"/>
          <w:lang w:eastAsia="bg-BG"/>
        </w:rPr>
        <w:t xml:space="preserve">%). </w:t>
      </w:r>
    </w:p>
    <w:p w:rsidR="009F347A" w:rsidRPr="003D5468" w:rsidRDefault="009F347A" w:rsidP="009F347A">
      <w:pPr>
        <w:spacing w:after="120"/>
        <w:ind w:firstLine="709"/>
        <w:jc w:val="both"/>
        <w:rPr>
          <w:rFonts w:eastAsia="Times New Roman"/>
          <w:lang w:eastAsia="bg-BG"/>
        </w:rPr>
      </w:pPr>
      <w:r w:rsidRPr="001008EB">
        <w:rPr>
          <w:rFonts w:eastAsia="Times New Roman"/>
          <w:lang w:eastAsia="bg-BG"/>
        </w:rPr>
        <w:t>Обработката по други направления (крайбрежно</w:t>
      </w:r>
      <w:r w:rsidR="001714C4" w:rsidRPr="001008EB">
        <w:rPr>
          <w:rFonts w:eastAsia="Times New Roman"/>
          <w:lang w:eastAsia="bg-BG"/>
        </w:rPr>
        <w:t>, трансборд) се увеличават от 75 хил.</w:t>
      </w:r>
      <w:r w:rsidR="00341BAE" w:rsidRPr="001008EB">
        <w:rPr>
          <w:rFonts w:eastAsia="Times New Roman"/>
          <w:lang w:eastAsia="bg-BG"/>
        </w:rPr>
        <w:t xml:space="preserve"> </w:t>
      </w:r>
      <w:r w:rsidR="001714C4" w:rsidRPr="001008EB">
        <w:rPr>
          <w:rFonts w:eastAsia="Times New Roman"/>
          <w:lang w:eastAsia="bg-BG"/>
        </w:rPr>
        <w:t>тона за 2018</w:t>
      </w:r>
      <w:r w:rsidR="00194A0E">
        <w:rPr>
          <w:rFonts w:eastAsia="Times New Roman"/>
          <w:lang w:eastAsia="bg-BG"/>
        </w:rPr>
        <w:t xml:space="preserve"> </w:t>
      </w:r>
      <w:r w:rsidR="001714C4" w:rsidRPr="001008EB">
        <w:rPr>
          <w:rFonts w:eastAsia="Times New Roman"/>
          <w:lang w:eastAsia="bg-BG"/>
        </w:rPr>
        <w:t>г. на 102</w:t>
      </w:r>
      <w:r w:rsidRPr="001008EB">
        <w:rPr>
          <w:rFonts w:eastAsia="Times New Roman"/>
          <w:lang w:eastAsia="bg-BG"/>
        </w:rPr>
        <w:t xml:space="preserve"> хил.</w:t>
      </w:r>
      <w:r w:rsidR="00341BAE" w:rsidRPr="001008EB">
        <w:rPr>
          <w:rFonts w:eastAsia="Times New Roman"/>
          <w:lang w:eastAsia="bg-BG"/>
        </w:rPr>
        <w:t xml:space="preserve"> </w:t>
      </w:r>
      <w:r w:rsidRPr="001008EB">
        <w:rPr>
          <w:rFonts w:eastAsia="Times New Roman"/>
          <w:lang w:eastAsia="bg-BG"/>
        </w:rPr>
        <w:t>тона за 201</w:t>
      </w:r>
      <w:bookmarkEnd w:id="13"/>
      <w:r w:rsidR="001714C4" w:rsidRPr="001008EB">
        <w:rPr>
          <w:rFonts w:eastAsia="Times New Roman"/>
          <w:lang w:eastAsia="bg-BG"/>
        </w:rPr>
        <w:t>9</w:t>
      </w:r>
      <w:r w:rsidR="00194A0E">
        <w:rPr>
          <w:rFonts w:eastAsia="Times New Roman"/>
          <w:lang w:eastAsia="bg-BG"/>
        </w:rPr>
        <w:t xml:space="preserve"> </w:t>
      </w:r>
      <w:r w:rsidRPr="001008EB">
        <w:rPr>
          <w:rFonts w:eastAsia="Times New Roman"/>
          <w:lang w:eastAsia="bg-BG"/>
        </w:rPr>
        <w:t>г.</w:t>
      </w:r>
      <w:r w:rsidRPr="003D5468">
        <w:rPr>
          <w:rFonts w:eastAsia="Times New Roman"/>
          <w:lang w:eastAsia="bg-BG"/>
        </w:rPr>
        <w:t xml:space="preserve"> </w:t>
      </w:r>
    </w:p>
    <w:p w:rsidR="009F347A" w:rsidRPr="003D5468" w:rsidRDefault="009F347A" w:rsidP="009F347A">
      <w:pPr>
        <w:pStyle w:val="Heading2"/>
        <w:numPr>
          <w:ilvl w:val="1"/>
          <w:numId w:val="2"/>
        </w:numPr>
        <w:spacing w:after="120"/>
        <w:rPr>
          <w:rFonts w:ascii="Times New Roman" w:hAnsi="Times New Roman"/>
          <w:i/>
          <w:smallCaps/>
          <w:sz w:val="24"/>
          <w:u w:val="single"/>
        </w:rPr>
      </w:pPr>
      <w:bookmarkStart w:id="14" w:name="_Toc40777290"/>
      <w:r w:rsidRPr="003D5468">
        <w:rPr>
          <w:rFonts w:ascii="Times New Roman" w:hAnsi="Times New Roman"/>
          <w:i/>
          <w:sz w:val="24"/>
          <w:u w:val="single"/>
        </w:rPr>
        <w:t xml:space="preserve">2) </w:t>
      </w:r>
      <w:r w:rsidRPr="003D5468">
        <w:rPr>
          <w:rFonts w:ascii="Times New Roman" w:hAnsi="Times New Roman"/>
          <w:i/>
          <w:smallCaps/>
          <w:sz w:val="24"/>
          <w:u w:val="single"/>
        </w:rPr>
        <w:t>Капацитет и степен на натовареност на мощностите,</w:t>
      </w:r>
      <w:bookmarkEnd w:id="14"/>
      <w:r w:rsidRPr="003D5468">
        <w:rPr>
          <w:rFonts w:ascii="Times New Roman" w:hAnsi="Times New Roman"/>
          <w:i/>
          <w:smallCaps/>
          <w:sz w:val="24"/>
          <w:u w:val="single"/>
        </w:rPr>
        <w:t xml:space="preserve"> </w:t>
      </w:r>
    </w:p>
    <w:p w:rsidR="009F347A" w:rsidRPr="003D5468" w:rsidRDefault="009F347A" w:rsidP="009F347A">
      <w:pPr>
        <w:pStyle w:val="Heading2"/>
        <w:numPr>
          <w:ilvl w:val="1"/>
          <w:numId w:val="2"/>
        </w:numPr>
        <w:spacing w:after="120"/>
        <w:rPr>
          <w:rFonts w:ascii="Times New Roman" w:hAnsi="Times New Roman"/>
          <w:i/>
          <w:sz w:val="24"/>
          <w:u w:val="single"/>
        </w:rPr>
      </w:pPr>
      <w:bookmarkStart w:id="15" w:name="_Toc40777291"/>
      <w:r w:rsidRPr="003D5468">
        <w:rPr>
          <w:rFonts w:ascii="Times New Roman" w:hAnsi="Times New Roman"/>
          <w:i/>
          <w:smallCaps/>
          <w:sz w:val="24"/>
          <w:u w:val="single"/>
        </w:rPr>
        <w:t>технологично проблемни места</w:t>
      </w:r>
      <w:bookmarkEnd w:id="15"/>
    </w:p>
    <w:p w:rsidR="009F347A" w:rsidRPr="003D5468" w:rsidRDefault="009F347A" w:rsidP="006A0EDC">
      <w:pPr>
        <w:spacing w:after="120"/>
        <w:jc w:val="both"/>
        <w:rPr>
          <w:sz w:val="26"/>
          <w:szCs w:val="26"/>
          <w:lang w:val="be-BY"/>
        </w:rPr>
      </w:pPr>
      <w:r w:rsidRPr="003D5468">
        <w:t xml:space="preserve">В следствие на свития пазар на речни пристанищни услуги Русе-център, Тутракан и Силистра работят на нищожен процент от капацитета си. </w:t>
      </w:r>
    </w:p>
    <w:p w:rsidR="00B870BC" w:rsidRPr="003D5468" w:rsidRDefault="009F347A" w:rsidP="009F347A">
      <w:pPr>
        <w:pStyle w:val="BodyTextIndent"/>
        <w:spacing w:after="240"/>
        <w:ind w:firstLine="709"/>
      </w:pPr>
      <w:r w:rsidRPr="003D5468">
        <w:rPr>
          <w:lang w:val="be-BY"/>
        </w:rPr>
        <w:t xml:space="preserve">Пристанищен терминал Русе-изток има капацитет за обработка на около 2 млн.тона годишно, което означава, че може да увеличи възможностите си </w:t>
      </w:r>
      <w:r w:rsidRPr="00453107">
        <w:rPr>
          <w:lang w:val="be-BY"/>
        </w:rPr>
        <w:t xml:space="preserve">с около </w:t>
      </w:r>
      <w:r w:rsidR="0070025E" w:rsidRPr="00453107">
        <w:rPr>
          <w:lang w:val="be-BY"/>
        </w:rPr>
        <w:t>три четвърти</w:t>
      </w:r>
      <w:r w:rsidR="00016B1B" w:rsidRPr="00453107">
        <w:t>.</w:t>
      </w:r>
      <w:r w:rsidR="00016B1B" w:rsidRPr="003D5468">
        <w:t xml:space="preserve"> </w:t>
      </w:r>
      <w:r w:rsidR="00B870BC" w:rsidRPr="003D5468">
        <w:t xml:space="preserve"> </w:t>
      </w:r>
    </w:p>
    <w:tbl>
      <w:tblPr>
        <w:tblW w:w="9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268"/>
        <w:gridCol w:w="1843"/>
        <w:gridCol w:w="1559"/>
        <w:gridCol w:w="1422"/>
      </w:tblGrid>
      <w:tr w:rsidR="006F7F6A" w:rsidRPr="003D5468" w:rsidTr="006F7F6A">
        <w:trPr>
          <w:trHeight w:val="525"/>
        </w:trPr>
        <w:tc>
          <w:tcPr>
            <w:tcW w:w="2835" w:type="dxa"/>
            <w:vMerge w:val="restart"/>
            <w:shd w:val="solid" w:color="C0C0C0" w:fill="FFFFFF"/>
            <w:noWrap/>
          </w:tcPr>
          <w:p w:rsidR="006F7F6A" w:rsidRPr="003D5468" w:rsidRDefault="006F7F6A" w:rsidP="005A5A52">
            <w:pPr>
              <w:jc w:val="center"/>
              <w:rPr>
                <w:rFonts w:ascii="Arial" w:eastAsia="Times New Roman" w:hAnsi="Arial" w:cs="Arial"/>
                <w:sz w:val="20"/>
                <w:szCs w:val="20"/>
                <w:lang w:eastAsia="bg-BG"/>
              </w:rPr>
            </w:pPr>
          </w:p>
        </w:tc>
        <w:tc>
          <w:tcPr>
            <w:tcW w:w="7092" w:type="dxa"/>
            <w:gridSpan w:val="4"/>
            <w:shd w:val="solid" w:color="C0C0C0" w:fill="FFFFFF"/>
            <w:noWrap/>
            <w:vAlign w:val="center"/>
          </w:tcPr>
          <w:p w:rsidR="006F7F6A" w:rsidRPr="003D5468" w:rsidRDefault="006F7F6A" w:rsidP="005A5A52">
            <w:pPr>
              <w:jc w:val="center"/>
              <w:rPr>
                <w:rFonts w:ascii="Arial" w:eastAsia="Times New Roman" w:hAnsi="Arial" w:cs="Arial"/>
                <w:b/>
                <w:bCs/>
                <w:sz w:val="20"/>
                <w:szCs w:val="20"/>
                <w:lang w:eastAsia="bg-BG"/>
              </w:rPr>
            </w:pPr>
            <w:r w:rsidRPr="003D5468">
              <w:rPr>
                <w:rFonts w:ascii="Arial" w:eastAsia="Times New Roman" w:hAnsi="Arial" w:cs="Arial"/>
                <w:b/>
                <w:bCs/>
                <w:sz w:val="20"/>
                <w:szCs w:val="20"/>
                <w:lang w:eastAsia="bg-BG"/>
              </w:rPr>
              <w:t>ОСНОВНИ ХАРАКТЕРИСТИКИ НА ТЕРМИНАЛИТЕ В „ПК–РУСЕ” ЕАД</w:t>
            </w:r>
          </w:p>
        </w:tc>
      </w:tr>
      <w:tr w:rsidR="006F7F6A" w:rsidRPr="003D5468" w:rsidTr="006F7F6A">
        <w:trPr>
          <w:trHeight w:val="525"/>
        </w:trPr>
        <w:tc>
          <w:tcPr>
            <w:tcW w:w="2835" w:type="dxa"/>
            <w:vMerge/>
            <w:shd w:val="clear" w:color="auto" w:fill="auto"/>
            <w:noWrap/>
          </w:tcPr>
          <w:p w:rsidR="006F7F6A" w:rsidRPr="003D5468" w:rsidRDefault="006F7F6A" w:rsidP="005A5A52">
            <w:pPr>
              <w:jc w:val="center"/>
              <w:rPr>
                <w:rFonts w:ascii="Arial" w:eastAsia="Times New Roman" w:hAnsi="Arial" w:cs="Arial"/>
                <w:sz w:val="20"/>
                <w:szCs w:val="20"/>
                <w:lang w:eastAsia="bg-BG"/>
              </w:rPr>
            </w:pPr>
          </w:p>
        </w:tc>
        <w:tc>
          <w:tcPr>
            <w:tcW w:w="2268" w:type="dxa"/>
            <w:shd w:val="clear" w:color="auto" w:fill="auto"/>
            <w:noWrap/>
            <w:vAlign w:val="center"/>
          </w:tcPr>
          <w:p w:rsidR="006F7F6A" w:rsidRPr="003D5468" w:rsidRDefault="006F7F6A" w:rsidP="005A5A52">
            <w:pPr>
              <w:jc w:val="center"/>
              <w:rPr>
                <w:rFonts w:ascii="Arial" w:eastAsia="Times New Roman" w:hAnsi="Arial" w:cs="Arial"/>
                <w:b/>
                <w:bCs/>
                <w:sz w:val="20"/>
                <w:szCs w:val="20"/>
                <w:lang w:eastAsia="bg-BG"/>
              </w:rPr>
            </w:pPr>
            <w:r w:rsidRPr="003D5468">
              <w:rPr>
                <w:rFonts w:ascii="Arial" w:eastAsia="Times New Roman" w:hAnsi="Arial" w:cs="Arial"/>
                <w:b/>
                <w:bCs/>
                <w:sz w:val="20"/>
                <w:szCs w:val="20"/>
                <w:lang w:eastAsia="bg-BG"/>
              </w:rPr>
              <w:t>РУСЕ-ИЗТОК</w:t>
            </w:r>
          </w:p>
        </w:tc>
        <w:tc>
          <w:tcPr>
            <w:tcW w:w="1843" w:type="dxa"/>
            <w:shd w:val="clear" w:color="auto" w:fill="auto"/>
            <w:noWrap/>
            <w:vAlign w:val="center"/>
          </w:tcPr>
          <w:p w:rsidR="006F7F6A" w:rsidRPr="003D5468" w:rsidRDefault="006F7F6A" w:rsidP="005A5A52">
            <w:pPr>
              <w:jc w:val="center"/>
              <w:rPr>
                <w:rFonts w:ascii="Arial" w:eastAsia="Times New Roman" w:hAnsi="Arial" w:cs="Arial"/>
                <w:b/>
                <w:bCs/>
                <w:sz w:val="20"/>
                <w:szCs w:val="20"/>
                <w:lang w:eastAsia="bg-BG"/>
              </w:rPr>
            </w:pPr>
            <w:r w:rsidRPr="003D5468">
              <w:rPr>
                <w:rFonts w:ascii="Arial" w:eastAsia="Times New Roman" w:hAnsi="Arial" w:cs="Arial"/>
                <w:b/>
                <w:bCs/>
                <w:sz w:val="20"/>
                <w:szCs w:val="20"/>
                <w:lang w:eastAsia="bg-BG"/>
              </w:rPr>
              <w:t>РУСЕ-ЦЕНТЪР</w:t>
            </w:r>
          </w:p>
        </w:tc>
        <w:tc>
          <w:tcPr>
            <w:tcW w:w="1559" w:type="dxa"/>
            <w:shd w:val="clear" w:color="auto" w:fill="auto"/>
            <w:noWrap/>
            <w:vAlign w:val="center"/>
          </w:tcPr>
          <w:p w:rsidR="006F7F6A" w:rsidRPr="003D5468" w:rsidRDefault="006F7F6A" w:rsidP="005A5A52">
            <w:pPr>
              <w:jc w:val="center"/>
              <w:rPr>
                <w:rFonts w:ascii="Arial" w:eastAsia="Times New Roman" w:hAnsi="Arial" w:cs="Arial"/>
                <w:b/>
                <w:bCs/>
                <w:sz w:val="20"/>
                <w:szCs w:val="20"/>
                <w:lang w:eastAsia="bg-BG"/>
              </w:rPr>
            </w:pPr>
            <w:r w:rsidRPr="003D5468">
              <w:rPr>
                <w:rFonts w:ascii="Arial" w:eastAsia="Times New Roman" w:hAnsi="Arial" w:cs="Arial"/>
                <w:b/>
                <w:bCs/>
                <w:sz w:val="20"/>
                <w:szCs w:val="20"/>
                <w:lang w:eastAsia="bg-BG"/>
              </w:rPr>
              <w:t>ТУТРАКАН</w:t>
            </w:r>
          </w:p>
        </w:tc>
        <w:tc>
          <w:tcPr>
            <w:tcW w:w="1422" w:type="dxa"/>
            <w:shd w:val="clear" w:color="auto" w:fill="auto"/>
            <w:noWrap/>
            <w:vAlign w:val="center"/>
          </w:tcPr>
          <w:p w:rsidR="006F7F6A" w:rsidRPr="003D5468" w:rsidRDefault="006F7F6A" w:rsidP="005A5A52">
            <w:pPr>
              <w:jc w:val="center"/>
              <w:rPr>
                <w:rFonts w:ascii="Arial" w:eastAsia="Times New Roman" w:hAnsi="Arial" w:cs="Arial"/>
                <w:b/>
                <w:bCs/>
                <w:sz w:val="20"/>
                <w:szCs w:val="20"/>
                <w:lang w:eastAsia="bg-BG"/>
              </w:rPr>
            </w:pPr>
            <w:r w:rsidRPr="003D5468">
              <w:rPr>
                <w:rFonts w:ascii="Arial" w:eastAsia="Times New Roman" w:hAnsi="Arial" w:cs="Arial"/>
                <w:b/>
                <w:bCs/>
                <w:sz w:val="20"/>
                <w:szCs w:val="20"/>
                <w:lang w:eastAsia="bg-BG"/>
              </w:rPr>
              <w:t>СИЛИСТРА</w:t>
            </w:r>
          </w:p>
        </w:tc>
      </w:tr>
      <w:tr w:rsidR="006F7F6A" w:rsidRPr="003D5468" w:rsidTr="006F7F6A">
        <w:trPr>
          <w:trHeight w:val="824"/>
        </w:trPr>
        <w:tc>
          <w:tcPr>
            <w:tcW w:w="2835" w:type="dxa"/>
            <w:shd w:val="solid" w:color="C0C0C0" w:fill="FFFFFF"/>
            <w:vAlign w:val="center"/>
          </w:tcPr>
          <w:p w:rsidR="006F7F6A" w:rsidRPr="003D5468" w:rsidRDefault="006F7F6A" w:rsidP="006F7F6A">
            <w:pPr>
              <w:rPr>
                <w:rFonts w:ascii="Arial" w:eastAsia="Times New Roman" w:hAnsi="Arial" w:cs="Arial"/>
                <w:b/>
                <w:bCs/>
                <w:sz w:val="20"/>
                <w:szCs w:val="20"/>
                <w:lang w:eastAsia="bg-BG"/>
              </w:rPr>
            </w:pPr>
            <w:r w:rsidRPr="003D5468">
              <w:rPr>
                <w:rFonts w:ascii="Arial" w:eastAsia="Times New Roman" w:hAnsi="Arial" w:cs="Arial"/>
                <w:b/>
                <w:bCs/>
                <w:sz w:val="20"/>
                <w:szCs w:val="20"/>
                <w:lang w:eastAsia="bg-BG"/>
              </w:rPr>
              <w:t>Територия</w:t>
            </w:r>
          </w:p>
        </w:tc>
        <w:tc>
          <w:tcPr>
            <w:tcW w:w="2268" w:type="dxa"/>
            <w:shd w:val="solid" w:color="C0C0C0" w:fill="FFFFFF"/>
            <w:vAlign w:val="center"/>
          </w:tcPr>
          <w:p w:rsidR="006F7F6A" w:rsidRPr="003D5468" w:rsidRDefault="006F7F6A" w:rsidP="005A5A52">
            <w:pPr>
              <w:jc w:val="center"/>
              <w:rPr>
                <w:rFonts w:ascii="Arial" w:eastAsia="Times New Roman" w:hAnsi="Arial" w:cs="Arial"/>
                <w:sz w:val="20"/>
                <w:szCs w:val="20"/>
                <w:lang w:eastAsia="bg-BG"/>
              </w:rPr>
            </w:pPr>
            <w:r w:rsidRPr="003D5468">
              <w:rPr>
                <w:rFonts w:ascii="Arial" w:eastAsia="Times New Roman" w:hAnsi="Arial" w:cs="Arial"/>
                <w:sz w:val="20"/>
                <w:szCs w:val="20"/>
                <w:lang w:eastAsia="bg-BG"/>
              </w:rPr>
              <w:t>825 533  м</w:t>
            </w:r>
            <w:r w:rsidRPr="003D5468">
              <w:rPr>
                <w:rFonts w:ascii="Arial" w:eastAsia="Times New Roman" w:hAnsi="Arial" w:cs="Arial"/>
                <w:sz w:val="20"/>
                <w:szCs w:val="20"/>
                <w:vertAlign w:val="superscript"/>
                <w:lang w:eastAsia="bg-BG"/>
              </w:rPr>
              <w:t xml:space="preserve">2 </w:t>
            </w:r>
            <w:r w:rsidRPr="003D5468">
              <w:rPr>
                <w:rFonts w:ascii="Arial" w:eastAsia="Times New Roman" w:hAnsi="Arial" w:cs="Arial"/>
                <w:sz w:val="20"/>
                <w:szCs w:val="20"/>
                <w:lang w:eastAsia="bg-BG"/>
              </w:rPr>
              <w:t xml:space="preserve">(около </w:t>
            </w:r>
            <w:r w:rsidRPr="003D5468">
              <w:rPr>
                <w:rFonts w:ascii="Arial" w:eastAsia="Times New Roman" w:hAnsi="Arial" w:cs="Arial"/>
                <w:b/>
                <w:bCs/>
                <w:sz w:val="20"/>
                <w:szCs w:val="20"/>
                <w:lang w:eastAsia="bg-BG"/>
              </w:rPr>
              <w:t>500 000 кв.м. работна площ</w:t>
            </w:r>
            <w:r w:rsidRPr="003D5468">
              <w:rPr>
                <w:rFonts w:ascii="Arial" w:eastAsia="Times New Roman" w:hAnsi="Arial" w:cs="Arial"/>
                <w:sz w:val="20"/>
                <w:szCs w:val="20"/>
                <w:lang w:eastAsia="bg-BG"/>
              </w:rPr>
              <w:t>)</w:t>
            </w:r>
          </w:p>
        </w:tc>
        <w:tc>
          <w:tcPr>
            <w:tcW w:w="1843" w:type="dxa"/>
            <w:shd w:val="solid" w:color="C0C0C0" w:fill="FFFFFF"/>
            <w:vAlign w:val="center"/>
          </w:tcPr>
          <w:p w:rsidR="006F7F6A" w:rsidRPr="003D5468" w:rsidRDefault="006F7F6A" w:rsidP="005A5A52">
            <w:pPr>
              <w:jc w:val="center"/>
              <w:rPr>
                <w:rFonts w:ascii="Arial" w:eastAsia="Times New Roman" w:hAnsi="Arial" w:cs="Arial"/>
                <w:sz w:val="20"/>
                <w:szCs w:val="20"/>
                <w:vertAlign w:val="superscript"/>
                <w:lang w:eastAsia="bg-BG"/>
              </w:rPr>
            </w:pPr>
            <w:r w:rsidRPr="003D5468">
              <w:rPr>
                <w:rFonts w:ascii="Arial" w:eastAsia="Times New Roman" w:hAnsi="Arial" w:cs="Arial"/>
                <w:sz w:val="20"/>
                <w:szCs w:val="20"/>
                <w:lang w:eastAsia="bg-BG"/>
              </w:rPr>
              <w:t>11 799 м</w:t>
            </w:r>
            <w:r w:rsidRPr="003D5468">
              <w:rPr>
                <w:rFonts w:ascii="Arial" w:eastAsia="Times New Roman" w:hAnsi="Arial" w:cs="Arial"/>
                <w:sz w:val="20"/>
                <w:szCs w:val="20"/>
                <w:vertAlign w:val="superscript"/>
                <w:lang w:eastAsia="bg-BG"/>
              </w:rPr>
              <w:t>2</w:t>
            </w:r>
          </w:p>
        </w:tc>
        <w:tc>
          <w:tcPr>
            <w:tcW w:w="1559" w:type="dxa"/>
            <w:shd w:val="solid" w:color="C0C0C0" w:fill="FFFFFF"/>
            <w:vAlign w:val="center"/>
          </w:tcPr>
          <w:p w:rsidR="006F7F6A" w:rsidRPr="003D5468" w:rsidRDefault="006F7F6A" w:rsidP="005A5A52">
            <w:pPr>
              <w:jc w:val="center"/>
              <w:rPr>
                <w:rFonts w:ascii="Arial" w:eastAsia="Times New Roman" w:hAnsi="Arial" w:cs="Arial"/>
                <w:sz w:val="20"/>
                <w:szCs w:val="20"/>
                <w:vertAlign w:val="superscript"/>
                <w:lang w:eastAsia="bg-BG"/>
              </w:rPr>
            </w:pPr>
            <w:r w:rsidRPr="003D5468">
              <w:rPr>
                <w:rFonts w:ascii="Arial" w:eastAsia="Times New Roman" w:hAnsi="Arial" w:cs="Arial"/>
                <w:sz w:val="20"/>
                <w:szCs w:val="20"/>
                <w:lang w:eastAsia="bg-BG"/>
              </w:rPr>
              <w:t>4 414 м</w:t>
            </w:r>
            <w:r w:rsidRPr="003D5468">
              <w:rPr>
                <w:rFonts w:ascii="Arial" w:eastAsia="Times New Roman" w:hAnsi="Arial" w:cs="Arial"/>
                <w:sz w:val="20"/>
                <w:szCs w:val="20"/>
                <w:vertAlign w:val="superscript"/>
                <w:lang w:eastAsia="bg-BG"/>
              </w:rPr>
              <w:t>2</w:t>
            </w:r>
          </w:p>
        </w:tc>
        <w:tc>
          <w:tcPr>
            <w:tcW w:w="1422" w:type="dxa"/>
            <w:shd w:val="solid" w:color="C0C0C0" w:fill="FFFFFF"/>
            <w:vAlign w:val="center"/>
          </w:tcPr>
          <w:p w:rsidR="006F7F6A" w:rsidRPr="003D5468" w:rsidRDefault="006F7F6A" w:rsidP="005A5A52">
            <w:pPr>
              <w:jc w:val="center"/>
              <w:rPr>
                <w:rFonts w:ascii="Arial" w:eastAsia="Times New Roman" w:hAnsi="Arial" w:cs="Arial"/>
                <w:sz w:val="20"/>
                <w:szCs w:val="20"/>
                <w:vertAlign w:val="superscript"/>
                <w:lang w:eastAsia="bg-BG"/>
              </w:rPr>
            </w:pPr>
            <w:r w:rsidRPr="003D5468">
              <w:rPr>
                <w:rFonts w:ascii="Arial" w:eastAsia="Times New Roman" w:hAnsi="Arial" w:cs="Arial"/>
                <w:sz w:val="20"/>
                <w:szCs w:val="20"/>
                <w:lang w:eastAsia="bg-BG"/>
              </w:rPr>
              <w:t>17 771 м</w:t>
            </w:r>
            <w:r w:rsidRPr="003D5468">
              <w:rPr>
                <w:rFonts w:ascii="Arial" w:eastAsia="Times New Roman" w:hAnsi="Arial" w:cs="Arial"/>
                <w:sz w:val="20"/>
                <w:szCs w:val="20"/>
                <w:vertAlign w:val="superscript"/>
                <w:lang w:eastAsia="bg-BG"/>
              </w:rPr>
              <w:t>2</w:t>
            </w:r>
          </w:p>
        </w:tc>
      </w:tr>
      <w:tr w:rsidR="006F7F6A" w:rsidRPr="003D5468" w:rsidTr="005127CC">
        <w:trPr>
          <w:trHeight w:val="1020"/>
        </w:trPr>
        <w:tc>
          <w:tcPr>
            <w:tcW w:w="2835" w:type="dxa"/>
            <w:shd w:val="clear" w:color="auto" w:fill="F2F2F2" w:themeFill="background1" w:themeFillShade="F2"/>
            <w:vAlign w:val="center"/>
          </w:tcPr>
          <w:p w:rsidR="006F7F6A" w:rsidRPr="003D5468" w:rsidRDefault="006F7F6A" w:rsidP="006F7F6A">
            <w:pPr>
              <w:rPr>
                <w:rFonts w:ascii="Arial" w:eastAsia="Times New Roman" w:hAnsi="Arial" w:cs="Arial"/>
                <w:b/>
                <w:bCs/>
                <w:sz w:val="20"/>
                <w:szCs w:val="20"/>
                <w:lang w:eastAsia="bg-BG"/>
              </w:rPr>
            </w:pPr>
            <w:r w:rsidRPr="003D5468">
              <w:rPr>
                <w:rFonts w:ascii="Arial" w:eastAsia="Times New Roman" w:hAnsi="Arial" w:cs="Arial"/>
                <w:b/>
                <w:bCs/>
                <w:sz w:val="20"/>
                <w:szCs w:val="20"/>
                <w:lang w:eastAsia="bg-BG"/>
              </w:rPr>
              <w:t>Брой корабни места</w:t>
            </w:r>
          </w:p>
        </w:tc>
        <w:tc>
          <w:tcPr>
            <w:tcW w:w="2268" w:type="dxa"/>
            <w:shd w:val="clear" w:color="auto" w:fill="F2F2F2" w:themeFill="background1" w:themeFillShade="F2"/>
            <w:vAlign w:val="center"/>
          </w:tcPr>
          <w:p w:rsidR="006F7F6A" w:rsidRPr="003D5468" w:rsidRDefault="006F7F6A" w:rsidP="005A5A52">
            <w:pPr>
              <w:jc w:val="center"/>
              <w:rPr>
                <w:rFonts w:ascii="Arial" w:eastAsia="Times New Roman" w:hAnsi="Arial" w:cs="Arial"/>
                <w:sz w:val="20"/>
                <w:szCs w:val="20"/>
                <w:lang w:eastAsia="bg-BG"/>
              </w:rPr>
            </w:pPr>
            <w:r w:rsidRPr="003D5468">
              <w:rPr>
                <w:rFonts w:ascii="Arial" w:eastAsia="Times New Roman" w:hAnsi="Arial" w:cs="Arial"/>
                <w:sz w:val="20"/>
                <w:szCs w:val="20"/>
                <w:lang w:eastAsia="bg-BG"/>
              </w:rPr>
              <w:t xml:space="preserve">12 бр. претоварни, </w:t>
            </w:r>
          </w:p>
          <w:p w:rsidR="006F7F6A" w:rsidRPr="003D5468" w:rsidRDefault="006F7F6A" w:rsidP="005A5A52">
            <w:pPr>
              <w:jc w:val="center"/>
              <w:rPr>
                <w:rFonts w:ascii="Arial" w:eastAsia="Times New Roman" w:hAnsi="Arial" w:cs="Arial"/>
                <w:sz w:val="20"/>
                <w:szCs w:val="20"/>
                <w:lang w:eastAsia="bg-BG"/>
              </w:rPr>
            </w:pPr>
            <w:r w:rsidRPr="003D5468">
              <w:rPr>
                <w:rFonts w:ascii="Arial" w:eastAsia="Times New Roman" w:hAnsi="Arial" w:cs="Arial"/>
                <w:sz w:val="20"/>
                <w:szCs w:val="20"/>
                <w:lang w:eastAsia="bg-BG"/>
              </w:rPr>
              <w:t>1 бр. на ро-ро терминал и 1 бр. с 1 бр. понтон за морско-технически услуги</w:t>
            </w:r>
          </w:p>
        </w:tc>
        <w:tc>
          <w:tcPr>
            <w:tcW w:w="1843" w:type="dxa"/>
            <w:shd w:val="clear" w:color="auto" w:fill="F2F2F2" w:themeFill="background1" w:themeFillShade="F2"/>
            <w:vAlign w:val="center"/>
          </w:tcPr>
          <w:p w:rsidR="006F7F6A" w:rsidRPr="003D5468" w:rsidRDefault="006F7F6A" w:rsidP="005A5A52">
            <w:pPr>
              <w:jc w:val="center"/>
              <w:rPr>
                <w:rFonts w:ascii="Arial" w:eastAsia="Times New Roman" w:hAnsi="Arial" w:cs="Arial"/>
                <w:sz w:val="20"/>
                <w:szCs w:val="20"/>
                <w:lang w:eastAsia="bg-BG"/>
              </w:rPr>
            </w:pPr>
            <w:r w:rsidRPr="003D5468">
              <w:rPr>
                <w:rFonts w:ascii="Arial" w:eastAsia="Times New Roman" w:hAnsi="Arial" w:cs="Arial"/>
                <w:sz w:val="20"/>
                <w:szCs w:val="20"/>
                <w:lang w:eastAsia="bg-BG"/>
              </w:rPr>
              <w:t xml:space="preserve">3 бр. </w:t>
            </w:r>
            <w:r w:rsidRPr="003D5468">
              <w:rPr>
                <w:rFonts w:ascii="Arial" w:eastAsia="Times New Roman" w:hAnsi="Arial" w:cs="Arial"/>
                <w:sz w:val="18"/>
                <w:szCs w:val="18"/>
                <w:lang w:eastAsia="bg-BG"/>
              </w:rPr>
              <w:t>(само 1 корабно място се експлоатира)</w:t>
            </w:r>
          </w:p>
        </w:tc>
        <w:tc>
          <w:tcPr>
            <w:tcW w:w="1559" w:type="dxa"/>
            <w:shd w:val="clear" w:color="auto" w:fill="F2F2F2" w:themeFill="background1" w:themeFillShade="F2"/>
            <w:vAlign w:val="center"/>
          </w:tcPr>
          <w:p w:rsidR="006F7F6A" w:rsidRPr="003D5468" w:rsidRDefault="006F7F6A" w:rsidP="005A5A52">
            <w:pPr>
              <w:jc w:val="center"/>
              <w:rPr>
                <w:rFonts w:ascii="Arial" w:eastAsia="Times New Roman" w:hAnsi="Arial" w:cs="Arial"/>
                <w:sz w:val="20"/>
                <w:szCs w:val="20"/>
                <w:lang w:eastAsia="bg-BG"/>
              </w:rPr>
            </w:pPr>
            <w:r w:rsidRPr="003D5468">
              <w:rPr>
                <w:rFonts w:ascii="Arial" w:eastAsia="Times New Roman" w:hAnsi="Arial" w:cs="Arial"/>
                <w:sz w:val="20"/>
                <w:szCs w:val="20"/>
                <w:lang w:eastAsia="bg-BG"/>
              </w:rPr>
              <w:t>1 бр. претоварно и 1 понтон</w:t>
            </w:r>
          </w:p>
        </w:tc>
        <w:tc>
          <w:tcPr>
            <w:tcW w:w="1422" w:type="dxa"/>
            <w:shd w:val="clear" w:color="auto" w:fill="F2F2F2" w:themeFill="background1" w:themeFillShade="F2"/>
            <w:vAlign w:val="center"/>
          </w:tcPr>
          <w:p w:rsidR="006F7F6A" w:rsidRPr="003D5468" w:rsidRDefault="006F7F6A" w:rsidP="005A5A52">
            <w:pPr>
              <w:jc w:val="center"/>
              <w:rPr>
                <w:rFonts w:ascii="Arial" w:eastAsia="Times New Roman" w:hAnsi="Arial" w:cs="Arial"/>
                <w:sz w:val="20"/>
                <w:szCs w:val="20"/>
                <w:lang w:eastAsia="bg-BG"/>
              </w:rPr>
            </w:pPr>
            <w:r w:rsidRPr="003D5468">
              <w:rPr>
                <w:rFonts w:ascii="Arial" w:eastAsia="Times New Roman" w:hAnsi="Arial" w:cs="Arial"/>
                <w:sz w:val="20"/>
                <w:szCs w:val="20"/>
                <w:lang w:eastAsia="bg-BG"/>
              </w:rPr>
              <w:t>2 бр. понтони</w:t>
            </w:r>
          </w:p>
        </w:tc>
      </w:tr>
      <w:tr w:rsidR="006F7F6A" w:rsidRPr="003D5468" w:rsidTr="005127CC">
        <w:trPr>
          <w:trHeight w:val="330"/>
        </w:trPr>
        <w:tc>
          <w:tcPr>
            <w:tcW w:w="2835" w:type="dxa"/>
            <w:shd w:val="solid" w:color="C0C0C0" w:fill="FFFFFF"/>
            <w:vAlign w:val="center"/>
          </w:tcPr>
          <w:p w:rsidR="006F7F6A" w:rsidRPr="003D5468" w:rsidRDefault="006F7F6A" w:rsidP="005127CC">
            <w:pPr>
              <w:rPr>
                <w:rFonts w:ascii="Arial" w:eastAsia="Times New Roman" w:hAnsi="Arial" w:cs="Arial"/>
                <w:b/>
                <w:bCs/>
                <w:sz w:val="20"/>
                <w:szCs w:val="20"/>
                <w:lang w:eastAsia="bg-BG"/>
              </w:rPr>
            </w:pPr>
            <w:r w:rsidRPr="003D5468">
              <w:rPr>
                <w:rFonts w:ascii="Arial" w:eastAsia="Times New Roman" w:hAnsi="Arial" w:cs="Arial"/>
                <w:b/>
                <w:bCs/>
                <w:sz w:val="20"/>
                <w:szCs w:val="20"/>
                <w:lang w:eastAsia="bg-BG"/>
              </w:rPr>
              <w:t>Електрически пристанищни кранове</w:t>
            </w:r>
          </w:p>
        </w:tc>
        <w:tc>
          <w:tcPr>
            <w:tcW w:w="2268" w:type="dxa"/>
            <w:shd w:val="solid" w:color="C0C0C0" w:fill="FFFFFF"/>
            <w:vAlign w:val="center"/>
          </w:tcPr>
          <w:p w:rsidR="006F7F6A" w:rsidRPr="003D5468" w:rsidRDefault="006F7F6A" w:rsidP="005A5A52">
            <w:pPr>
              <w:jc w:val="center"/>
              <w:rPr>
                <w:rFonts w:ascii="Arial" w:eastAsia="Times New Roman" w:hAnsi="Arial" w:cs="Arial"/>
                <w:sz w:val="20"/>
                <w:szCs w:val="20"/>
                <w:lang w:eastAsia="bg-BG"/>
              </w:rPr>
            </w:pPr>
            <w:r w:rsidRPr="003D5468">
              <w:rPr>
                <w:rFonts w:ascii="Arial" w:eastAsia="Times New Roman" w:hAnsi="Arial" w:cs="Arial"/>
                <w:sz w:val="20"/>
                <w:szCs w:val="20"/>
                <w:lang w:eastAsia="bg-BG"/>
              </w:rPr>
              <w:t>16 бр.</w:t>
            </w:r>
          </w:p>
        </w:tc>
        <w:tc>
          <w:tcPr>
            <w:tcW w:w="1843" w:type="dxa"/>
            <w:shd w:val="solid" w:color="C0C0C0" w:fill="FFFFFF"/>
            <w:vAlign w:val="center"/>
          </w:tcPr>
          <w:p w:rsidR="006F7F6A" w:rsidRPr="003D5468" w:rsidRDefault="006F7F6A" w:rsidP="005A5A52">
            <w:pPr>
              <w:jc w:val="center"/>
              <w:rPr>
                <w:rFonts w:ascii="Arial" w:eastAsia="Times New Roman" w:hAnsi="Arial" w:cs="Arial"/>
                <w:sz w:val="20"/>
                <w:szCs w:val="20"/>
                <w:lang w:eastAsia="bg-BG"/>
              </w:rPr>
            </w:pPr>
            <w:r w:rsidRPr="003D5468">
              <w:rPr>
                <w:rFonts w:ascii="Arial" w:eastAsia="Times New Roman" w:hAnsi="Arial" w:cs="Arial"/>
                <w:sz w:val="20"/>
                <w:szCs w:val="20"/>
                <w:lang w:eastAsia="bg-BG"/>
              </w:rPr>
              <w:t>-</w:t>
            </w:r>
          </w:p>
        </w:tc>
        <w:tc>
          <w:tcPr>
            <w:tcW w:w="1559" w:type="dxa"/>
            <w:shd w:val="solid" w:color="C0C0C0" w:fill="FFFFFF"/>
            <w:vAlign w:val="center"/>
          </w:tcPr>
          <w:p w:rsidR="006F7F6A" w:rsidRPr="003D5468" w:rsidRDefault="006F7F6A" w:rsidP="005A5A52">
            <w:pPr>
              <w:jc w:val="center"/>
              <w:rPr>
                <w:rFonts w:ascii="Arial" w:eastAsia="Times New Roman" w:hAnsi="Arial" w:cs="Arial"/>
                <w:sz w:val="20"/>
                <w:szCs w:val="20"/>
                <w:lang w:eastAsia="bg-BG"/>
              </w:rPr>
            </w:pPr>
            <w:r w:rsidRPr="003D5468">
              <w:rPr>
                <w:rFonts w:ascii="Arial" w:eastAsia="Times New Roman" w:hAnsi="Arial" w:cs="Arial"/>
                <w:sz w:val="20"/>
                <w:szCs w:val="20"/>
                <w:lang w:eastAsia="bg-BG"/>
              </w:rPr>
              <w:t>1 бр.</w:t>
            </w:r>
          </w:p>
        </w:tc>
        <w:tc>
          <w:tcPr>
            <w:tcW w:w="1422" w:type="dxa"/>
            <w:shd w:val="solid" w:color="C0C0C0" w:fill="FFFFFF"/>
            <w:vAlign w:val="center"/>
          </w:tcPr>
          <w:p w:rsidR="006F7F6A" w:rsidRPr="003D5468" w:rsidRDefault="006F7F6A" w:rsidP="005127CC">
            <w:pPr>
              <w:jc w:val="center"/>
              <w:rPr>
                <w:rFonts w:ascii="Arial" w:eastAsia="Times New Roman" w:hAnsi="Arial" w:cs="Arial"/>
                <w:sz w:val="20"/>
                <w:szCs w:val="20"/>
                <w:lang w:eastAsia="bg-BG"/>
              </w:rPr>
            </w:pPr>
            <w:r w:rsidRPr="003D5468">
              <w:rPr>
                <w:rFonts w:ascii="Arial" w:eastAsia="Times New Roman" w:hAnsi="Arial" w:cs="Arial"/>
                <w:sz w:val="20"/>
                <w:szCs w:val="20"/>
                <w:lang w:eastAsia="bg-BG"/>
              </w:rPr>
              <w:t>-</w:t>
            </w:r>
          </w:p>
        </w:tc>
      </w:tr>
      <w:tr w:rsidR="006F7F6A" w:rsidRPr="003D5468" w:rsidTr="005127CC">
        <w:trPr>
          <w:trHeight w:val="330"/>
        </w:trPr>
        <w:tc>
          <w:tcPr>
            <w:tcW w:w="2835" w:type="dxa"/>
            <w:shd w:val="clear" w:color="auto" w:fill="F2F2F2" w:themeFill="background1" w:themeFillShade="F2"/>
            <w:vAlign w:val="center"/>
          </w:tcPr>
          <w:p w:rsidR="006F7F6A" w:rsidRPr="003D5468" w:rsidRDefault="006F7F6A" w:rsidP="005127CC">
            <w:pPr>
              <w:rPr>
                <w:rFonts w:ascii="Arial" w:eastAsia="Times New Roman" w:hAnsi="Arial" w:cs="Arial"/>
                <w:b/>
                <w:bCs/>
                <w:sz w:val="20"/>
                <w:szCs w:val="20"/>
                <w:lang w:eastAsia="bg-BG"/>
              </w:rPr>
            </w:pPr>
            <w:r w:rsidRPr="003D5468">
              <w:rPr>
                <w:rFonts w:ascii="Arial" w:eastAsia="Times New Roman" w:hAnsi="Arial" w:cs="Arial"/>
                <w:b/>
                <w:bCs/>
                <w:sz w:val="20"/>
                <w:szCs w:val="20"/>
                <w:lang w:eastAsia="bg-BG"/>
              </w:rPr>
              <w:t>Закрити складове</w:t>
            </w:r>
          </w:p>
        </w:tc>
        <w:tc>
          <w:tcPr>
            <w:tcW w:w="2268" w:type="dxa"/>
            <w:shd w:val="clear" w:color="auto" w:fill="F2F2F2" w:themeFill="background1" w:themeFillShade="F2"/>
            <w:vAlign w:val="center"/>
          </w:tcPr>
          <w:p w:rsidR="006F7F6A" w:rsidRPr="003D5468" w:rsidRDefault="006F7F6A" w:rsidP="005127CC">
            <w:pPr>
              <w:jc w:val="center"/>
              <w:rPr>
                <w:rFonts w:ascii="Arial" w:eastAsia="Times New Roman" w:hAnsi="Arial" w:cs="Arial"/>
                <w:sz w:val="20"/>
                <w:szCs w:val="20"/>
                <w:lang w:eastAsia="bg-BG"/>
              </w:rPr>
            </w:pPr>
            <w:r w:rsidRPr="003D5468">
              <w:rPr>
                <w:rFonts w:ascii="Arial" w:eastAsia="Times New Roman" w:hAnsi="Arial" w:cs="Arial"/>
                <w:sz w:val="20"/>
                <w:szCs w:val="20"/>
                <w:lang w:eastAsia="bg-BG"/>
              </w:rPr>
              <w:t>17 520 кв.м.</w:t>
            </w:r>
          </w:p>
        </w:tc>
        <w:tc>
          <w:tcPr>
            <w:tcW w:w="1843" w:type="dxa"/>
            <w:shd w:val="clear" w:color="auto" w:fill="F2F2F2" w:themeFill="background1" w:themeFillShade="F2"/>
            <w:noWrap/>
            <w:vAlign w:val="center"/>
          </w:tcPr>
          <w:p w:rsidR="006F7F6A" w:rsidRPr="003D5468" w:rsidRDefault="006F7F6A" w:rsidP="005127CC">
            <w:pPr>
              <w:jc w:val="center"/>
              <w:rPr>
                <w:rFonts w:ascii="Arial" w:eastAsia="Times New Roman" w:hAnsi="Arial" w:cs="Arial"/>
                <w:sz w:val="20"/>
                <w:szCs w:val="20"/>
                <w:lang w:eastAsia="bg-BG"/>
              </w:rPr>
            </w:pPr>
            <w:r w:rsidRPr="003D5468">
              <w:rPr>
                <w:rFonts w:ascii="Arial" w:eastAsia="Times New Roman" w:hAnsi="Arial" w:cs="Arial"/>
                <w:sz w:val="20"/>
                <w:szCs w:val="20"/>
                <w:lang w:eastAsia="bg-BG"/>
              </w:rPr>
              <w:t>-</w:t>
            </w:r>
          </w:p>
        </w:tc>
        <w:tc>
          <w:tcPr>
            <w:tcW w:w="1559" w:type="dxa"/>
            <w:shd w:val="clear" w:color="auto" w:fill="F2F2F2" w:themeFill="background1" w:themeFillShade="F2"/>
            <w:noWrap/>
            <w:vAlign w:val="center"/>
          </w:tcPr>
          <w:p w:rsidR="006F7F6A" w:rsidRPr="003D5468" w:rsidRDefault="006F7F6A" w:rsidP="005127CC">
            <w:pPr>
              <w:jc w:val="center"/>
              <w:rPr>
                <w:rFonts w:ascii="Arial" w:eastAsia="Times New Roman" w:hAnsi="Arial" w:cs="Arial"/>
                <w:sz w:val="20"/>
                <w:szCs w:val="20"/>
                <w:lang w:eastAsia="bg-BG"/>
              </w:rPr>
            </w:pPr>
            <w:r w:rsidRPr="003D5468">
              <w:rPr>
                <w:rFonts w:ascii="Arial" w:eastAsia="Times New Roman" w:hAnsi="Arial" w:cs="Arial"/>
                <w:sz w:val="20"/>
                <w:szCs w:val="20"/>
                <w:lang w:eastAsia="bg-BG"/>
              </w:rPr>
              <w:t>-</w:t>
            </w:r>
          </w:p>
        </w:tc>
        <w:tc>
          <w:tcPr>
            <w:tcW w:w="1422" w:type="dxa"/>
            <w:shd w:val="clear" w:color="auto" w:fill="F2F2F2" w:themeFill="background1" w:themeFillShade="F2"/>
            <w:noWrap/>
            <w:vAlign w:val="center"/>
          </w:tcPr>
          <w:p w:rsidR="006F7F6A" w:rsidRPr="003D5468" w:rsidRDefault="006F7F6A" w:rsidP="005127CC">
            <w:pPr>
              <w:jc w:val="center"/>
              <w:rPr>
                <w:rFonts w:ascii="Arial" w:eastAsia="Times New Roman" w:hAnsi="Arial" w:cs="Arial"/>
                <w:sz w:val="20"/>
                <w:szCs w:val="20"/>
                <w:lang w:eastAsia="bg-BG"/>
              </w:rPr>
            </w:pPr>
            <w:r w:rsidRPr="003D5468">
              <w:rPr>
                <w:rFonts w:ascii="Arial" w:eastAsia="Times New Roman" w:hAnsi="Arial" w:cs="Arial"/>
                <w:sz w:val="20"/>
                <w:szCs w:val="20"/>
                <w:lang w:eastAsia="bg-BG"/>
              </w:rPr>
              <w:t>-</w:t>
            </w:r>
          </w:p>
        </w:tc>
      </w:tr>
      <w:tr w:rsidR="006F7F6A" w:rsidRPr="003D5468" w:rsidTr="005127CC">
        <w:trPr>
          <w:trHeight w:val="330"/>
        </w:trPr>
        <w:tc>
          <w:tcPr>
            <w:tcW w:w="2835" w:type="dxa"/>
            <w:shd w:val="solid" w:color="C0C0C0" w:fill="FFFFFF"/>
            <w:vAlign w:val="center"/>
          </w:tcPr>
          <w:p w:rsidR="006F7F6A" w:rsidRPr="003D5468" w:rsidRDefault="006F7F6A" w:rsidP="005127CC">
            <w:pPr>
              <w:rPr>
                <w:rFonts w:ascii="Arial" w:eastAsia="Times New Roman" w:hAnsi="Arial" w:cs="Arial"/>
                <w:b/>
                <w:bCs/>
                <w:sz w:val="20"/>
                <w:szCs w:val="20"/>
                <w:lang w:eastAsia="bg-BG"/>
              </w:rPr>
            </w:pPr>
            <w:r w:rsidRPr="003D5468">
              <w:rPr>
                <w:rFonts w:ascii="Arial" w:eastAsia="Times New Roman" w:hAnsi="Arial" w:cs="Arial"/>
                <w:b/>
                <w:bCs/>
                <w:sz w:val="20"/>
                <w:szCs w:val="20"/>
                <w:lang w:eastAsia="bg-BG"/>
              </w:rPr>
              <w:t>Открити складове</w:t>
            </w:r>
          </w:p>
        </w:tc>
        <w:tc>
          <w:tcPr>
            <w:tcW w:w="2268" w:type="dxa"/>
            <w:shd w:val="solid" w:color="C0C0C0" w:fill="FFFFFF"/>
            <w:vAlign w:val="center"/>
          </w:tcPr>
          <w:p w:rsidR="006F7F6A" w:rsidRPr="003D5468" w:rsidRDefault="006F7F6A" w:rsidP="005127CC">
            <w:pPr>
              <w:jc w:val="center"/>
              <w:rPr>
                <w:rFonts w:ascii="Arial" w:eastAsia="Times New Roman" w:hAnsi="Arial" w:cs="Arial"/>
                <w:sz w:val="20"/>
                <w:szCs w:val="20"/>
                <w:lang w:eastAsia="bg-BG"/>
              </w:rPr>
            </w:pPr>
            <w:r w:rsidRPr="003D5468">
              <w:rPr>
                <w:rFonts w:ascii="Arial" w:eastAsia="Times New Roman" w:hAnsi="Arial" w:cs="Arial"/>
                <w:sz w:val="20"/>
                <w:szCs w:val="20"/>
                <w:lang w:eastAsia="bg-BG"/>
              </w:rPr>
              <w:t>180 500 кв.м.</w:t>
            </w:r>
          </w:p>
        </w:tc>
        <w:tc>
          <w:tcPr>
            <w:tcW w:w="1843" w:type="dxa"/>
            <w:shd w:val="solid" w:color="C0C0C0" w:fill="FFFFFF"/>
            <w:noWrap/>
            <w:vAlign w:val="center"/>
          </w:tcPr>
          <w:p w:rsidR="006F7F6A" w:rsidRPr="003D5468" w:rsidRDefault="006F7F6A" w:rsidP="005127CC">
            <w:pPr>
              <w:jc w:val="center"/>
              <w:rPr>
                <w:rFonts w:ascii="Arial" w:eastAsia="Times New Roman" w:hAnsi="Arial" w:cs="Arial"/>
                <w:sz w:val="20"/>
                <w:szCs w:val="20"/>
                <w:lang w:eastAsia="bg-BG"/>
              </w:rPr>
            </w:pPr>
            <w:r w:rsidRPr="003D5468">
              <w:rPr>
                <w:rFonts w:ascii="Arial" w:eastAsia="Times New Roman" w:hAnsi="Arial" w:cs="Arial"/>
                <w:sz w:val="20"/>
                <w:szCs w:val="20"/>
                <w:lang w:eastAsia="bg-BG"/>
              </w:rPr>
              <w:t>-</w:t>
            </w:r>
          </w:p>
        </w:tc>
        <w:tc>
          <w:tcPr>
            <w:tcW w:w="1559" w:type="dxa"/>
            <w:shd w:val="solid" w:color="C0C0C0" w:fill="FFFFFF"/>
            <w:noWrap/>
            <w:vAlign w:val="center"/>
          </w:tcPr>
          <w:p w:rsidR="006F7F6A" w:rsidRPr="003D5468" w:rsidRDefault="006F7F6A" w:rsidP="005127CC">
            <w:pPr>
              <w:jc w:val="center"/>
              <w:rPr>
                <w:rFonts w:ascii="Arial" w:eastAsia="Times New Roman" w:hAnsi="Arial" w:cs="Arial"/>
                <w:sz w:val="20"/>
                <w:szCs w:val="20"/>
                <w:lang w:eastAsia="bg-BG"/>
              </w:rPr>
            </w:pPr>
            <w:r w:rsidRPr="003D5468">
              <w:rPr>
                <w:rFonts w:ascii="Arial" w:eastAsia="Times New Roman" w:hAnsi="Arial" w:cs="Arial"/>
                <w:sz w:val="20"/>
                <w:szCs w:val="20"/>
                <w:lang w:eastAsia="bg-BG"/>
              </w:rPr>
              <w:t>3 500 кв.м.</w:t>
            </w:r>
          </w:p>
        </w:tc>
        <w:tc>
          <w:tcPr>
            <w:tcW w:w="1422" w:type="dxa"/>
            <w:shd w:val="solid" w:color="C0C0C0" w:fill="FFFFFF"/>
            <w:noWrap/>
            <w:vAlign w:val="center"/>
          </w:tcPr>
          <w:p w:rsidR="006F7F6A" w:rsidRPr="003D5468" w:rsidRDefault="006F7F6A" w:rsidP="005127CC">
            <w:pPr>
              <w:jc w:val="center"/>
              <w:rPr>
                <w:rFonts w:ascii="Arial" w:eastAsia="Times New Roman" w:hAnsi="Arial" w:cs="Arial"/>
                <w:sz w:val="20"/>
                <w:szCs w:val="20"/>
                <w:lang w:eastAsia="bg-BG"/>
              </w:rPr>
            </w:pPr>
            <w:r w:rsidRPr="003D5468">
              <w:rPr>
                <w:rFonts w:ascii="Arial" w:eastAsia="Times New Roman" w:hAnsi="Arial" w:cs="Arial"/>
                <w:sz w:val="20"/>
                <w:szCs w:val="20"/>
                <w:lang w:eastAsia="bg-BG"/>
              </w:rPr>
              <w:t>-</w:t>
            </w:r>
          </w:p>
        </w:tc>
      </w:tr>
    </w:tbl>
    <w:p w:rsidR="009F347A" w:rsidRPr="003D5468" w:rsidRDefault="009F347A" w:rsidP="009F347A">
      <w:pPr>
        <w:numPr>
          <w:ilvl w:val="0"/>
          <w:numId w:val="16"/>
        </w:numPr>
        <w:spacing w:before="120" w:after="120"/>
        <w:ind w:left="0" w:firstLine="567"/>
        <w:jc w:val="both"/>
        <w:rPr>
          <w:lang w:val="be-BY"/>
        </w:rPr>
      </w:pPr>
      <w:r w:rsidRPr="003D5468">
        <w:rPr>
          <w:lang w:val="be-BY"/>
        </w:rPr>
        <w:lastRenderedPageBreak/>
        <w:t>Въпреки амортизираността на наличната челна техника и разполагаемата инфраструктура, тя би била достатъчна за посрещане на клиентските потребности. Има свободен капацитет що се отнася до основните видове насипни и генерални товари, като могат да се поемат и допълнително количества интермодални единици.</w:t>
      </w:r>
    </w:p>
    <w:p w:rsidR="006F7F6A" w:rsidRPr="003D5468" w:rsidRDefault="009F347A" w:rsidP="009F347A">
      <w:pPr>
        <w:pStyle w:val="BodyTextIndent"/>
        <w:spacing w:after="120"/>
        <w:ind w:firstLine="709"/>
      </w:pPr>
      <w:r w:rsidRPr="003D5468">
        <w:t>Съществува недостиг на закрити скл</w:t>
      </w:r>
      <w:r w:rsidR="00804FCD">
        <w:t xml:space="preserve">адови площи, особено за зърно, </w:t>
      </w:r>
      <w:r w:rsidRPr="003D5468">
        <w:t>торове и  метали, но дружеството постоянно полага усилия за по-добра организация и максимално удовлетворяване на търсенето. От друга страна, строгите противопожарни и фитосанитарни изисквания по отношение складирането на последните видове изброени товари ограничават използваемия капацитет.</w:t>
      </w:r>
    </w:p>
    <w:p w:rsidR="006F7F6A" w:rsidRPr="003D5468" w:rsidRDefault="006F7F6A" w:rsidP="006F7F6A">
      <w:pPr>
        <w:pStyle w:val="Heading2"/>
        <w:spacing w:after="120"/>
        <w:ind w:left="709"/>
        <w:jc w:val="left"/>
        <w:rPr>
          <w:rFonts w:ascii="Times New Roman" w:hAnsi="Times New Roman"/>
          <w:i/>
          <w:sz w:val="24"/>
          <w:u w:val="single"/>
        </w:rPr>
      </w:pPr>
      <w:bookmarkStart w:id="16" w:name="_Toc351721975"/>
      <w:bookmarkStart w:id="17" w:name="_Toc382904551"/>
      <w:bookmarkStart w:id="18" w:name="_Toc382904669"/>
      <w:bookmarkStart w:id="19" w:name="_Toc477959766"/>
      <w:bookmarkStart w:id="20" w:name="_Toc40777292"/>
      <w:r w:rsidRPr="003D5468">
        <w:rPr>
          <w:rFonts w:ascii="Times New Roman" w:hAnsi="Times New Roman"/>
          <w:i/>
          <w:sz w:val="24"/>
          <w:u w:val="single"/>
        </w:rPr>
        <w:t>Технологично проблемни места</w:t>
      </w:r>
      <w:bookmarkEnd w:id="16"/>
      <w:bookmarkEnd w:id="17"/>
      <w:bookmarkEnd w:id="18"/>
      <w:bookmarkEnd w:id="19"/>
      <w:bookmarkEnd w:id="20"/>
    </w:p>
    <w:p w:rsidR="009F347A" w:rsidRPr="003D5468" w:rsidRDefault="009F347A" w:rsidP="009F347A">
      <w:pPr>
        <w:numPr>
          <w:ilvl w:val="0"/>
          <w:numId w:val="16"/>
        </w:numPr>
        <w:spacing w:after="120"/>
        <w:ind w:left="0" w:firstLine="567"/>
        <w:jc w:val="both"/>
      </w:pPr>
      <w:r w:rsidRPr="003D5468">
        <w:t xml:space="preserve">Технологиите за работа в пристанищата от Пристанищен комплекс – Русе ЕАД са съобразени със спецификата при работа на река, особеностите на кейовите стени, пристанищното оборудване и претоварни съоръжения, както и нуждите на всеки товар. </w:t>
      </w:r>
      <w:r w:rsidRPr="003D5468">
        <w:rPr>
          <w:b/>
        </w:rPr>
        <w:t>В технологичен аспект пристанищата от комплекса могат да посрещат широк обхват конвенционални товари</w:t>
      </w:r>
      <w:r w:rsidRPr="003D5468">
        <w:t xml:space="preserve">. </w:t>
      </w:r>
    </w:p>
    <w:p w:rsidR="009F347A" w:rsidRPr="003D5468" w:rsidRDefault="009F347A" w:rsidP="009F347A">
      <w:pPr>
        <w:numPr>
          <w:ilvl w:val="0"/>
          <w:numId w:val="16"/>
        </w:numPr>
        <w:spacing w:after="120"/>
        <w:ind w:left="0" w:firstLine="567"/>
        <w:jc w:val="both"/>
      </w:pPr>
      <w:r w:rsidRPr="003D5468">
        <w:rPr>
          <w:b/>
        </w:rPr>
        <w:t>Технологичен риск представлява възрастта на електрическите портални кранове, с които се работи</w:t>
      </w:r>
      <w:r w:rsidRPr="003D5468">
        <w:t xml:space="preserve">. Голяма част от тях са на повече от 30-40 години. Експлоатацията им изисква непрекъснат контрол на състоянието, ремонтни дейности и поддръжка, които забавят работния процес и се намаляват капацитетните възможности на терминалите по отношение бързината на обработка. </w:t>
      </w:r>
    </w:p>
    <w:p w:rsidR="009F347A" w:rsidRPr="003D5468" w:rsidRDefault="009F347A" w:rsidP="009F347A">
      <w:pPr>
        <w:numPr>
          <w:ilvl w:val="0"/>
          <w:numId w:val="16"/>
        </w:numPr>
        <w:spacing w:after="120"/>
        <w:ind w:left="0" w:firstLine="567"/>
        <w:jc w:val="both"/>
      </w:pPr>
      <w:r w:rsidRPr="003D5468">
        <w:rPr>
          <w:b/>
        </w:rPr>
        <w:t>Липсата на достатъчна дълбочина</w:t>
      </w:r>
      <w:r w:rsidRPr="003D5468">
        <w:t xml:space="preserve"> в лимана на пристанище Русе-изток се оказва технологичен проблем, които създава затруднения при оперативната работа на дружеството. Динамичните хидро-морфологични процеси на р. Дунав водят до наслагване на наноси (пясък и тиня) в лимана на пристанище Русе-изток, което от своя страна затруднява маневрирането и швартоването на съдовете за обработка, пристанали на определени корабни места. По този начин при ниски водни стоежи, шест от корабните места не могат да бъдат използвани. Същото е причина за забавяне на обработката и увеличване на разходите на дружеството. За отстраняване на проблема е необходимо регулярно извършване на промери (хидрографни проучвания) и драгиране.</w:t>
      </w:r>
    </w:p>
    <w:p w:rsidR="009F347A" w:rsidRPr="003D5468" w:rsidRDefault="009F347A" w:rsidP="009F347A">
      <w:pPr>
        <w:numPr>
          <w:ilvl w:val="0"/>
          <w:numId w:val="16"/>
        </w:numPr>
        <w:spacing w:after="120"/>
        <w:ind w:left="0" w:firstLine="567"/>
        <w:jc w:val="both"/>
      </w:pPr>
      <w:r w:rsidRPr="003D5468">
        <w:t xml:space="preserve"> Остарялата и амортизирана пристанищна инфраструктура (пътища, открити складови площи) води до по-бавна обработка на товарите, увеличаване вероятността от аварии на работещите машини в терминала и неудовлетвореност от страна на клиентите.</w:t>
      </w:r>
    </w:p>
    <w:p w:rsidR="009F347A" w:rsidRPr="003D5468" w:rsidRDefault="009F347A" w:rsidP="009F347A">
      <w:pPr>
        <w:spacing w:after="120"/>
        <w:ind w:firstLine="851"/>
        <w:jc w:val="both"/>
        <w:rPr>
          <w:shd w:val="clear" w:color="auto" w:fill="FFFFFF"/>
        </w:rPr>
      </w:pPr>
      <w:r w:rsidRPr="003D5468">
        <w:t xml:space="preserve">Ежегодно </w:t>
      </w:r>
      <w:r w:rsidR="00341BAE" w:rsidRPr="003D5468">
        <w:t>Пристанищен комплекс – Русе</w:t>
      </w:r>
      <w:r w:rsidR="00341BAE">
        <w:t xml:space="preserve"> ЕАД</w:t>
      </w:r>
      <w:r w:rsidR="00341BAE" w:rsidRPr="003D5468">
        <w:t xml:space="preserve"> </w:t>
      </w:r>
      <w:r w:rsidRPr="003D5468">
        <w:t>и ДП „Пристанищна инфраструктура“ полагат съвместни усилия за решаване на този технологичен проблем.</w:t>
      </w:r>
      <w:r w:rsidRPr="003D5468">
        <w:rPr>
          <w:shd w:val="clear" w:color="auto" w:fill="FFFFFF"/>
        </w:rPr>
        <w:t xml:space="preserve"> Въпреки това, цялостно реновиране </w:t>
      </w:r>
      <w:r w:rsidRPr="003D5468">
        <w:t>на инфраструктурата би отнело повече време и финансови средства.</w:t>
      </w:r>
      <w:r w:rsidRPr="003D5468">
        <w:rPr>
          <w:shd w:val="clear" w:color="auto" w:fill="FFFFFF"/>
        </w:rPr>
        <w:t xml:space="preserve"> Ползата от който би била подобрено качеството на  предоставяните услуги и намаляване на разходите за ремонт на наличната техника.</w:t>
      </w:r>
    </w:p>
    <w:p w:rsidR="007F5EDD" w:rsidRPr="003D5468" w:rsidRDefault="009F347A" w:rsidP="009F347A">
      <w:pPr>
        <w:spacing w:after="240"/>
        <w:ind w:firstLine="851"/>
        <w:jc w:val="both"/>
      </w:pPr>
      <w:r w:rsidRPr="003D5468">
        <w:t>На моменти дружеството изпитва недостиг на закрити складови площи, към които в последните години се наблюдава засилен клиентски интерес. Това пречи на комплекса да отговори в пълен обем на нуждите на своите контрагенти (относно стоки с необходимост от съхранение в контролирана среда, стоки от сферата на високите технологии и други). По отношение на откритите складове, част от тях са в недобро състояние поради високата си натовареност и дългогодишно използване</w:t>
      </w:r>
      <w:r w:rsidR="006F7F6A" w:rsidRPr="003D5468">
        <w:t>.</w:t>
      </w:r>
    </w:p>
    <w:p w:rsidR="005B3ECE" w:rsidRPr="003D5468" w:rsidRDefault="004C7ADB" w:rsidP="00D21D98">
      <w:pPr>
        <w:pStyle w:val="Heading2"/>
        <w:numPr>
          <w:ilvl w:val="1"/>
          <w:numId w:val="2"/>
        </w:numPr>
        <w:tabs>
          <w:tab w:val="clear" w:pos="360"/>
        </w:tabs>
        <w:spacing w:after="120"/>
        <w:rPr>
          <w:rFonts w:ascii="Times New Roman" w:hAnsi="Times New Roman"/>
          <w:i/>
          <w:sz w:val="24"/>
          <w:u w:val="single"/>
        </w:rPr>
      </w:pPr>
      <w:bookmarkStart w:id="21" w:name="_Toc288478110"/>
      <w:bookmarkStart w:id="22" w:name="_Toc40777293"/>
      <w:r w:rsidRPr="003D5468">
        <w:rPr>
          <w:rFonts w:ascii="Times New Roman" w:hAnsi="Times New Roman"/>
          <w:i/>
          <w:sz w:val="24"/>
          <w:u w:val="single"/>
        </w:rPr>
        <w:lastRenderedPageBreak/>
        <w:t>3</w:t>
      </w:r>
      <w:r w:rsidR="00E409FD" w:rsidRPr="003D5468">
        <w:rPr>
          <w:rFonts w:ascii="Times New Roman" w:hAnsi="Times New Roman"/>
          <w:i/>
          <w:sz w:val="24"/>
          <w:u w:val="single"/>
        </w:rPr>
        <w:t xml:space="preserve">) </w:t>
      </w:r>
      <w:r w:rsidR="00334366" w:rsidRPr="003D5468">
        <w:rPr>
          <w:rFonts w:ascii="Times New Roman" w:hAnsi="Times New Roman"/>
          <w:i/>
          <w:smallCaps/>
          <w:sz w:val="24"/>
          <w:u w:val="single"/>
        </w:rPr>
        <w:t>Пазарен анализ – клиенти, доставчици, к</w:t>
      </w:r>
      <w:r w:rsidR="00B97C1A" w:rsidRPr="003D5468">
        <w:rPr>
          <w:rFonts w:ascii="Times New Roman" w:hAnsi="Times New Roman"/>
          <w:i/>
          <w:smallCaps/>
          <w:sz w:val="24"/>
          <w:u w:val="single"/>
        </w:rPr>
        <w:t>онкуренти</w:t>
      </w:r>
      <w:bookmarkEnd w:id="21"/>
      <w:r w:rsidR="009A792C" w:rsidRPr="003D5468">
        <w:rPr>
          <w:rFonts w:ascii="Times New Roman" w:hAnsi="Times New Roman"/>
          <w:i/>
          <w:smallCaps/>
          <w:sz w:val="24"/>
          <w:u w:val="single"/>
        </w:rPr>
        <w:t>,</w:t>
      </w:r>
      <w:bookmarkEnd w:id="22"/>
    </w:p>
    <w:p w:rsidR="00334366" w:rsidRPr="003D5468" w:rsidRDefault="009A792C" w:rsidP="00D21D98">
      <w:pPr>
        <w:pStyle w:val="Heading2"/>
        <w:numPr>
          <w:ilvl w:val="1"/>
          <w:numId w:val="2"/>
        </w:numPr>
        <w:tabs>
          <w:tab w:val="clear" w:pos="360"/>
        </w:tabs>
        <w:spacing w:after="120"/>
        <w:rPr>
          <w:rFonts w:ascii="Times New Roman" w:hAnsi="Times New Roman"/>
          <w:i/>
          <w:sz w:val="24"/>
          <w:u w:val="single"/>
        </w:rPr>
      </w:pPr>
      <w:bookmarkStart w:id="23" w:name="_Toc40777294"/>
      <w:r w:rsidRPr="003D5468">
        <w:rPr>
          <w:rFonts w:ascii="Times New Roman" w:hAnsi="Times New Roman"/>
          <w:i/>
          <w:smallCaps/>
          <w:sz w:val="24"/>
          <w:u w:val="single"/>
        </w:rPr>
        <w:t>маркетингова политика</w:t>
      </w:r>
      <w:bookmarkEnd w:id="23"/>
    </w:p>
    <w:p w:rsidR="006B1B4F" w:rsidRPr="006B1B4F" w:rsidRDefault="006B1B4F" w:rsidP="002421E6">
      <w:pPr>
        <w:spacing w:after="120"/>
        <w:ind w:firstLine="709"/>
        <w:jc w:val="both"/>
      </w:pPr>
      <w:bookmarkStart w:id="24" w:name="_Toc288478112"/>
      <w:r w:rsidRPr="006B1B4F">
        <w:t xml:space="preserve">Пристанищен комплекс-Русе“ ЕАД полага услия да присъства активно на пазара на пристанищните услуги в региона, използвайки своите конкурентни предимства за да привлича нови товари и клиенти, да увеличава едни от най- важните показатели – обработени товари и достигнати приходи и чрез подобрение на експлоатационните, технологичните и технически параметри на предлаганите услуги и ефективни маркетингови действия да увеличава тяхното качество и да осигурява изпълнението на своята бизнес програма. </w:t>
      </w:r>
    </w:p>
    <w:p w:rsidR="0063455F" w:rsidRPr="0063455F" w:rsidRDefault="002421E6" w:rsidP="009F347A">
      <w:pPr>
        <w:spacing w:after="120"/>
        <w:ind w:firstLine="851"/>
        <w:jc w:val="both"/>
      </w:pPr>
      <w:r>
        <w:t>Дружеството</w:t>
      </w:r>
      <w:r w:rsidR="007D0C7D" w:rsidRPr="006B1B4F">
        <w:t xml:space="preserve"> </w:t>
      </w:r>
      <w:r w:rsidR="0063455F" w:rsidRPr="006B1B4F">
        <w:t>запазва пазарните с</w:t>
      </w:r>
      <w:r>
        <w:t xml:space="preserve">и позиции на логистичния пазар, като </w:t>
      </w:r>
      <w:r w:rsidR="0063455F" w:rsidRPr="006B1B4F">
        <w:t xml:space="preserve">поддържа търговски контакти с над 40 фирми. </w:t>
      </w:r>
      <w:r w:rsidR="007D0C7D" w:rsidRPr="006B1B4F">
        <w:t xml:space="preserve">Пристанищен комплекс - Русе </w:t>
      </w:r>
      <w:r w:rsidR="0063455F" w:rsidRPr="006B1B4F">
        <w:t>следва политиката си на л</w:t>
      </w:r>
      <w:r w:rsidR="006B1B4F">
        <w:t>огистично икономическо развитие.</w:t>
      </w:r>
    </w:p>
    <w:p w:rsidR="009F347A" w:rsidRPr="003D5468" w:rsidRDefault="0063455F" w:rsidP="009F347A">
      <w:pPr>
        <w:spacing w:after="120"/>
        <w:ind w:firstLine="851"/>
        <w:jc w:val="both"/>
      </w:pPr>
      <w:r w:rsidRPr="006B1B4F">
        <w:t>2019</w:t>
      </w:r>
      <w:r w:rsidR="00AB20D8">
        <w:t xml:space="preserve"> </w:t>
      </w:r>
      <w:r w:rsidR="009F347A" w:rsidRPr="006B1B4F">
        <w:t>г. се характеризира с динамични промени,</w:t>
      </w:r>
      <w:r w:rsidR="006B1B4F" w:rsidRPr="006B1B4F">
        <w:t xml:space="preserve"> силно изразена</w:t>
      </w:r>
      <w:r w:rsidR="009F347A" w:rsidRPr="006B1B4F">
        <w:t xml:space="preserve"> конкуренция и сравнително свити обеми товари. Отново се наблюдаваха трудности за корабоплаването предизвикани от ниски речни нива. Установи се трайно намаление</w:t>
      </w:r>
      <w:r w:rsidRPr="006B1B4F">
        <w:t xml:space="preserve"> на обработката на въглища</w:t>
      </w:r>
      <w:r w:rsidR="009F347A" w:rsidRPr="006B1B4F">
        <w:t>.</w:t>
      </w:r>
      <w:r w:rsidR="009F347A" w:rsidRPr="003D5468">
        <w:t xml:space="preserve"> </w:t>
      </w:r>
    </w:p>
    <w:p w:rsidR="0063455F" w:rsidRDefault="009F347A" w:rsidP="009F347A">
      <w:pPr>
        <w:spacing w:before="120" w:after="120"/>
        <w:ind w:firstLine="851"/>
        <w:jc w:val="both"/>
      </w:pPr>
      <w:r w:rsidRPr="006B1B4F">
        <w:t>Някои от клиентите преустановиха дейността си в пристанищата от комплекса поради неблагоприятни икономически условия или прен</w:t>
      </w:r>
      <w:r w:rsidR="0063455F" w:rsidRPr="006B1B4F">
        <w:t>асочване на дейността им. Прекратена беше</w:t>
      </w:r>
      <w:r w:rsidRPr="006B1B4F">
        <w:t xml:space="preserve"> обработката на контейнери и трейлери, </w:t>
      </w:r>
      <w:r w:rsidR="0063455F" w:rsidRPr="006B1B4F">
        <w:t>както през 2018</w:t>
      </w:r>
      <w:r w:rsidR="00AB20D8">
        <w:t xml:space="preserve"> </w:t>
      </w:r>
      <w:r w:rsidR="0063455F" w:rsidRPr="006B1B4F">
        <w:t>г., така и през 2019</w:t>
      </w:r>
      <w:r w:rsidR="00AB20D8">
        <w:t xml:space="preserve"> </w:t>
      </w:r>
      <w:r w:rsidR="0063455F" w:rsidRPr="006B1B4F">
        <w:t>г.</w:t>
      </w:r>
    </w:p>
    <w:p w:rsidR="009F347A" w:rsidRPr="003D5468" w:rsidRDefault="006B1B4F" w:rsidP="009F347A">
      <w:pPr>
        <w:spacing w:before="120" w:after="120"/>
        <w:ind w:firstLine="851"/>
        <w:jc w:val="both"/>
        <w:rPr>
          <w:b/>
        </w:rPr>
      </w:pPr>
      <w:r>
        <w:t xml:space="preserve">Както предходните 5 години, така и изминалата </w:t>
      </w:r>
      <w:r w:rsidRPr="006B1B4F">
        <w:t>2019</w:t>
      </w:r>
      <w:r w:rsidR="009F347A" w:rsidRPr="006B1B4F">
        <w:t xml:space="preserve"> бе белязана от </w:t>
      </w:r>
      <w:r w:rsidR="009F347A" w:rsidRPr="006B1B4F">
        <w:rPr>
          <w:b/>
        </w:rPr>
        <w:t xml:space="preserve">силна конкурентна среда, </w:t>
      </w:r>
      <w:r w:rsidR="009F347A" w:rsidRPr="006B1B4F">
        <w:t>най-вече</w:t>
      </w:r>
      <w:r w:rsidR="009F347A" w:rsidRPr="006B1B4F">
        <w:rPr>
          <w:b/>
        </w:rPr>
        <w:t xml:space="preserve"> </w:t>
      </w:r>
      <w:r w:rsidR="009F347A" w:rsidRPr="006B1B4F">
        <w:t>от терминал Русе-запад, чиито оператор към момента е ДП „Пристанищна инфраструктура“. Освен това, в региона има и други пазарни субекти, които предоставят услуги, частично препокриващи се с основната дейност на комплекса (предимно складови услуги). В последните няколко години се наблюдава тенденцията и част от клиентите на „Пристанищен комплекс – Русе“ ЕАД да инвестират в собствени складово-логистични бази.</w:t>
      </w:r>
      <w:r w:rsidR="009F347A" w:rsidRPr="003D5468">
        <w:t xml:space="preserve"> </w:t>
      </w:r>
    </w:p>
    <w:p w:rsidR="00AA1982" w:rsidRDefault="009F347A" w:rsidP="009F347A">
      <w:pPr>
        <w:pStyle w:val="NormalWeb"/>
        <w:tabs>
          <w:tab w:val="left" w:pos="1134"/>
        </w:tabs>
        <w:spacing w:before="0" w:beforeAutospacing="0" w:after="120" w:afterAutospacing="0"/>
        <w:ind w:firstLine="851"/>
        <w:jc w:val="both"/>
      </w:pPr>
      <w:r w:rsidRPr="006B1B4F">
        <w:t>С оглед на сложната пазарна обстановка, комбинираща перманентно нарастващ конкурентен натиск и нерастяща пазарна ниша от друга, дружеството предлага на своите клиенти услуги, които в оптимална степен отговаря на техните нужди. Търговската политика на комплекса е гъвкава, като целта е да се реагира максимално бързо и адекватно на пазарните промени. Тя насърчава контрагентите да увеличават обема на съвместната работа – както по отношение на традиционно предоставяни за обработка и складиране товари, така и за нови стоки. Доказателство за това е сериозната натовареност на складовата база (особено закритите складове). На по-малките си конкуренти, които в условията на нерастящ пазар и при по-ниски експлоатационни разходи предлагат по-ниски цени, комплексът отговаря с високо качество на предлаганите услуги и максимално използване предимствата на големи</w:t>
      </w:r>
      <w:r w:rsidR="00235F89" w:rsidRPr="006B1B4F">
        <w:t>те</w:t>
      </w:r>
      <w:r w:rsidRPr="006B1B4F">
        <w:t>, като капацитет товар</w:t>
      </w:r>
      <w:r w:rsidR="00235F89" w:rsidRPr="006B1B4F">
        <w:t>ни</w:t>
      </w:r>
      <w:r w:rsidRPr="006B1B4F">
        <w:t xml:space="preserve"> терминал</w:t>
      </w:r>
      <w:r w:rsidR="00235F89" w:rsidRPr="006B1B4F">
        <w:t>и</w:t>
      </w:r>
      <w:r w:rsidRPr="006B1B4F">
        <w:t xml:space="preserve"> Русе-изток</w:t>
      </w:r>
      <w:r w:rsidR="00235F89" w:rsidRPr="006B1B4F">
        <w:t xml:space="preserve"> 1 и 2</w:t>
      </w:r>
      <w:r w:rsidR="00A10DB9" w:rsidRPr="006B1B4F">
        <w:t>.</w:t>
      </w:r>
    </w:p>
    <w:p w:rsidR="00EE1EF2" w:rsidRPr="003D5468" w:rsidRDefault="00EE1EF2" w:rsidP="009F347A">
      <w:pPr>
        <w:pStyle w:val="NormalWeb"/>
        <w:tabs>
          <w:tab w:val="left" w:pos="1134"/>
        </w:tabs>
        <w:spacing w:before="0" w:beforeAutospacing="0" w:after="120" w:afterAutospacing="0"/>
        <w:ind w:firstLine="851"/>
        <w:jc w:val="both"/>
      </w:pPr>
      <w:r w:rsidRPr="006B1B4F">
        <w:t>Като част от нашата социална отговорност ние приемаме прилагането и утвърждаването на производствена практика, ориентирана към опазване на околната среда. Усилията и инвестициите ни тази посока са част от цялостната концепция за бъдещото развитие и дейност на дружеството.</w:t>
      </w:r>
    </w:p>
    <w:p w:rsidR="00857F16" w:rsidRPr="00EB33B3" w:rsidRDefault="00857F16" w:rsidP="00DD76F5">
      <w:pPr>
        <w:numPr>
          <w:ilvl w:val="1"/>
          <w:numId w:val="6"/>
        </w:numPr>
        <w:tabs>
          <w:tab w:val="left" w:pos="1134"/>
        </w:tabs>
        <w:spacing w:before="120" w:after="120"/>
        <w:ind w:left="1134" w:hanging="425"/>
        <w:jc w:val="both"/>
        <w:rPr>
          <w:b/>
          <w:u w:val="single"/>
        </w:rPr>
      </w:pPr>
      <w:r w:rsidRPr="00EB33B3">
        <w:rPr>
          <w:b/>
          <w:u w:val="single"/>
        </w:rPr>
        <w:t>КЛИЕНТИ - взаимоотношения и зависимост</w:t>
      </w:r>
    </w:p>
    <w:p w:rsidR="009F347A" w:rsidRPr="00EB33B3" w:rsidRDefault="009F347A" w:rsidP="009F347A">
      <w:pPr>
        <w:spacing w:before="120" w:after="120"/>
        <w:ind w:firstLine="851"/>
        <w:jc w:val="both"/>
      </w:pPr>
      <w:r w:rsidRPr="00EB33B3">
        <w:t>Товародателите реализиращи най-голям товарооборот имат установени дългогодишни добри партньорски взаимоотношения с комплекса.</w:t>
      </w:r>
    </w:p>
    <w:p w:rsidR="009F347A" w:rsidRPr="003D5468" w:rsidRDefault="009F347A" w:rsidP="009F347A">
      <w:pPr>
        <w:spacing w:after="120"/>
        <w:ind w:firstLine="851"/>
        <w:jc w:val="both"/>
      </w:pPr>
      <w:bookmarkStart w:id="25" w:name="_Hlk506989717"/>
      <w:r w:rsidRPr="00EB33B3">
        <w:t>Първите 1</w:t>
      </w:r>
      <w:r w:rsidRPr="00EB33B3">
        <w:rPr>
          <w:lang w:val="en-US"/>
        </w:rPr>
        <w:t>0</w:t>
      </w:r>
      <w:r w:rsidRPr="00EB33B3">
        <w:t xml:space="preserve"> клиента по големина</w:t>
      </w:r>
      <w:r w:rsidR="00EE1EF2" w:rsidRPr="00EB33B3">
        <w:t xml:space="preserve"> на товарооборота реализират 341 хил.</w:t>
      </w:r>
      <w:r w:rsidR="000643B8" w:rsidRPr="00EB33B3">
        <w:t xml:space="preserve"> </w:t>
      </w:r>
      <w:r w:rsidR="00EE1EF2" w:rsidRPr="00EB33B3">
        <w:t>физ.</w:t>
      </w:r>
      <w:r w:rsidR="000643B8" w:rsidRPr="00EB33B3">
        <w:t xml:space="preserve"> </w:t>
      </w:r>
      <w:r w:rsidR="00EE1EF2" w:rsidRPr="00EB33B3">
        <w:t>тона или 70</w:t>
      </w:r>
      <w:r w:rsidRPr="00EB33B3">
        <w:t>% от всички обработени товари. За мин</w:t>
      </w:r>
      <w:r w:rsidR="00651CB8" w:rsidRPr="00EB33B3">
        <w:t>алата 20</w:t>
      </w:r>
      <w:r w:rsidR="00473C3B" w:rsidRPr="00EB33B3">
        <w:t>1</w:t>
      </w:r>
      <w:r w:rsidR="00235F89" w:rsidRPr="00EB33B3">
        <w:t>8</w:t>
      </w:r>
      <w:r w:rsidR="00651CB8" w:rsidRPr="00EB33B3">
        <w:t xml:space="preserve"> г. те представляват</w:t>
      </w:r>
      <w:r w:rsidR="00EE1EF2" w:rsidRPr="00EB33B3">
        <w:t xml:space="preserve"> 490</w:t>
      </w:r>
      <w:r w:rsidRPr="00EB33B3">
        <w:t xml:space="preserve"> хил.</w:t>
      </w:r>
      <w:r w:rsidR="000643B8" w:rsidRPr="00EB33B3">
        <w:t xml:space="preserve"> </w:t>
      </w:r>
      <w:r w:rsidRPr="00EB33B3">
        <w:t>физ.</w:t>
      </w:r>
      <w:r w:rsidR="000643B8" w:rsidRPr="00EB33B3">
        <w:t xml:space="preserve"> </w:t>
      </w:r>
      <w:r w:rsidRPr="00EB33B3">
        <w:t>тона (81%).</w:t>
      </w:r>
      <w:bookmarkEnd w:id="25"/>
    </w:p>
    <w:p w:rsidR="00F7034A" w:rsidRPr="003D5468" w:rsidRDefault="00EE1EF2" w:rsidP="009F347A">
      <w:pPr>
        <w:spacing w:before="120" w:after="120"/>
        <w:ind w:firstLine="851"/>
        <w:jc w:val="both"/>
      </w:pPr>
      <w:r w:rsidRPr="00EB33B3">
        <w:lastRenderedPageBreak/>
        <w:t>За 2019</w:t>
      </w:r>
      <w:r w:rsidR="00235F89" w:rsidRPr="00EB33B3">
        <w:t xml:space="preserve"> </w:t>
      </w:r>
      <w:r w:rsidR="009F347A" w:rsidRPr="00EB33B3">
        <w:t xml:space="preserve">г. отново на първата позиция отново е „Топлофикация – Русе“ ЕАД (въглища), следван от „Рубишипс транспорт“ ООД (торове, метали и др.), </w:t>
      </w:r>
      <w:r w:rsidRPr="00EB33B3">
        <w:t>„Интерком спед“ ООД</w:t>
      </w:r>
      <w:r w:rsidR="00DF7D7F" w:rsidRPr="00EB33B3">
        <w:t xml:space="preserve"> </w:t>
      </w:r>
      <w:r w:rsidR="00462B4A" w:rsidRPr="00EB33B3">
        <w:rPr>
          <w:lang w:val="en-US"/>
        </w:rPr>
        <w:t>(</w:t>
      </w:r>
      <w:r w:rsidR="00462B4A" w:rsidRPr="00EB33B3">
        <w:t>метали</w:t>
      </w:r>
      <w:r w:rsidR="00462B4A" w:rsidRPr="00EB33B3">
        <w:rPr>
          <w:lang w:val="en-US"/>
        </w:rPr>
        <w:t>)</w:t>
      </w:r>
      <w:r w:rsidR="00462B4A" w:rsidRPr="00EB33B3">
        <w:t xml:space="preserve">, </w:t>
      </w:r>
      <w:r w:rsidRPr="00EB33B3">
        <w:t>“Каолин“ ЕАД</w:t>
      </w:r>
      <w:r w:rsidR="00235F89" w:rsidRPr="00EB33B3">
        <w:t xml:space="preserve"> </w:t>
      </w:r>
      <w:r w:rsidR="00462B4A" w:rsidRPr="00EB33B3">
        <w:rPr>
          <w:lang w:val="en-US"/>
        </w:rPr>
        <w:t>(</w:t>
      </w:r>
      <w:r w:rsidR="00462B4A" w:rsidRPr="00EB33B3">
        <w:t>глина, каолин</w:t>
      </w:r>
      <w:r w:rsidR="00462B4A" w:rsidRPr="00EB33B3">
        <w:rPr>
          <w:lang w:val="en-US"/>
        </w:rPr>
        <w:t>)</w:t>
      </w:r>
      <w:r w:rsidR="00462B4A" w:rsidRPr="00EB33B3">
        <w:t>,</w:t>
      </w:r>
      <w:r w:rsidRPr="00EB33B3">
        <w:t xml:space="preserve"> </w:t>
      </w:r>
      <w:r w:rsidR="00462B4A" w:rsidRPr="00EB33B3">
        <w:t>„</w:t>
      </w:r>
      <w:r w:rsidR="009F347A" w:rsidRPr="00EB33B3">
        <w:t>Промет Стийл“ ЕАД, „Ритъм – 4 ТБ“ ЕООД, „Юнит</w:t>
      </w:r>
      <w:r w:rsidR="00462B4A" w:rsidRPr="00EB33B3">
        <w:t>ранс“ ООД</w:t>
      </w:r>
      <w:r w:rsidR="00F7034A" w:rsidRPr="00EB33B3">
        <w:t>.</w:t>
      </w:r>
    </w:p>
    <w:p w:rsidR="000865A8" w:rsidRPr="003D5468" w:rsidRDefault="00102EC7" w:rsidP="000865A8">
      <w:pPr>
        <w:spacing w:after="120"/>
        <w:jc w:val="center"/>
        <w:rPr>
          <w:noProof/>
        </w:rPr>
      </w:pPr>
      <w:r>
        <w:rPr>
          <w:noProof/>
          <w:lang w:eastAsia="bg-BG"/>
        </w:rPr>
        <w:drawing>
          <wp:inline distT="0" distB="0" distL="0" distR="0" wp14:anchorId="62C58A3F" wp14:editId="4F558F6B">
            <wp:extent cx="5557838" cy="3048000"/>
            <wp:effectExtent l="0" t="0" r="24130" b="19050"/>
            <wp:docPr id="20" name="Диагра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04217" w:rsidRDefault="00904217" w:rsidP="000865A8">
      <w:pPr>
        <w:spacing w:after="120"/>
        <w:jc w:val="center"/>
      </w:pPr>
    </w:p>
    <w:p w:rsidR="00857F16" w:rsidRPr="003D5468" w:rsidRDefault="00857F16" w:rsidP="00DD76F5">
      <w:pPr>
        <w:numPr>
          <w:ilvl w:val="1"/>
          <w:numId w:val="6"/>
        </w:numPr>
        <w:tabs>
          <w:tab w:val="left" w:pos="1134"/>
        </w:tabs>
        <w:spacing w:before="120" w:after="120"/>
        <w:ind w:hanging="1091"/>
        <w:jc w:val="both"/>
        <w:rPr>
          <w:b/>
          <w:u w:val="single"/>
        </w:rPr>
      </w:pPr>
      <w:r w:rsidRPr="003D5468">
        <w:rPr>
          <w:b/>
          <w:u w:val="single"/>
        </w:rPr>
        <w:t>Конкуренти – предимства и недостатъци</w:t>
      </w:r>
    </w:p>
    <w:p w:rsidR="005E7249" w:rsidRPr="003D5468" w:rsidRDefault="005E7249" w:rsidP="005E7249">
      <w:pPr>
        <w:spacing w:after="120"/>
        <w:ind w:firstLine="720"/>
        <w:jc w:val="both"/>
        <w:rPr>
          <w:lang w:val="be-BY"/>
        </w:rPr>
      </w:pPr>
      <w:r w:rsidRPr="003D5468">
        <w:rPr>
          <w:lang w:val="be-BY"/>
        </w:rPr>
        <w:t xml:space="preserve">Конкуренцията в сектора на пристанищните и логистични услуги </w:t>
      </w:r>
      <w:r w:rsidR="00974AF0" w:rsidRPr="003D5468">
        <w:t>в региона на град Русе се засилва с всяка изминала година</w:t>
      </w:r>
      <w:r w:rsidRPr="003D5468">
        <w:rPr>
          <w:lang w:val="be-BY"/>
        </w:rPr>
        <w:t xml:space="preserve">. </w:t>
      </w:r>
      <w:bookmarkStart w:id="26" w:name="_Hlk506989985"/>
      <w:r w:rsidRPr="003D5468">
        <w:rPr>
          <w:lang w:val="be-BY"/>
        </w:rPr>
        <w:t xml:space="preserve">Клиентите </w:t>
      </w:r>
      <w:r w:rsidR="00974AF0" w:rsidRPr="003D5468">
        <w:rPr>
          <w:lang w:val="be-BY"/>
        </w:rPr>
        <w:t>търсят услуги, базирани на принципа на най-късата логистична верига, извършени на най-ниски цени</w:t>
      </w:r>
      <w:bookmarkEnd w:id="26"/>
      <w:r w:rsidRPr="003D5468">
        <w:rPr>
          <w:lang w:val="be-BY"/>
        </w:rPr>
        <w:t>.</w:t>
      </w:r>
    </w:p>
    <w:p w:rsidR="00857F16" w:rsidRPr="003D5468" w:rsidRDefault="005E7249" w:rsidP="00974AF0">
      <w:pPr>
        <w:spacing w:after="120"/>
        <w:ind w:firstLine="720"/>
        <w:jc w:val="both"/>
        <w:rPr>
          <w:lang w:val="be-BY"/>
        </w:rPr>
      </w:pPr>
      <w:r w:rsidRPr="003D5468">
        <w:rPr>
          <w:lang w:val="be-BY"/>
        </w:rPr>
        <w:t xml:space="preserve">На графиката по-долу е представен SWOT анализ на основните фактори, които влияят върху конкурентите позиции на </w:t>
      </w:r>
      <w:r w:rsidR="006A52D1" w:rsidRPr="003D5468">
        <w:rPr>
          <w:lang w:val="be-BY"/>
        </w:rPr>
        <w:t>“</w:t>
      </w:r>
      <w:r w:rsidRPr="003D5468">
        <w:rPr>
          <w:lang w:val="be-BY"/>
        </w:rPr>
        <w:t>Пристанищен комплекс – Русе</w:t>
      </w:r>
      <w:r w:rsidR="006A52D1" w:rsidRPr="003D5468">
        <w:rPr>
          <w:lang w:val="be-BY"/>
        </w:rPr>
        <w:t>”ЕАД</w:t>
      </w:r>
      <w:r w:rsidRPr="003D5468">
        <w:rPr>
          <w:lang w:val="be-BY"/>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863"/>
        <w:gridCol w:w="4850"/>
      </w:tblGrid>
      <w:tr w:rsidR="006A52D1" w:rsidRPr="003D5468" w:rsidTr="001A0D51">
        <w:tc>
          <w:tcPr>
            <w:tcW w:w="4863" w:type="dxa"/>
            <w:shd w:val="clear" w:color="auto" w:fill="8EAADB" w:themeFill="accent1" w:themeFillTint="99"/>
          </w:tcPr>
          <w:p w:rsidR="006A52D1" w:rsidRPr="003D5468" w:rsidRDefault="006A52D1" w:rsidP="005A5A52">
            <w:pPr>
              <w:pStyle w:val="Title"/>
            </w:pPr>
            <w:bookmarkStart w:id="27" w:name="_Hlk506990071"/>
            <w:r w:rsidRPr="003D5468">
              <w:t>СИЛНИ СТРАНИ</w:t>
            </w:r>
          </w:p>
        </w:tc>
        <w:tc>
          <w:tcPr>
            <w:tcW w:w="4850" w:type="dxa"/>
            <w:shd w:val="clear" w:color="auto" w:fill="A6A6A6" w:themeFill="background1" w:themeFillShade="A6"/>
          </w:tcPr>
          <w:p w:rsidR="006A52D1" w:rsidRPr="003D5468" w:rsidRDefault="006A52D1" w:rsidP="005A5A52">
            <w:pPr>
              <w:pStyle w:val="Title"/>
            </w:pPr>
            <w:r w:rsidRPr="003D5468">
              <w:t>СЛАБИ СТРАНИ</w:t>
            </w:r>
          </w:p>
        </w:tc>
      </w:tr>
      <w:tr w:rsidR="006A52D1" w:rsidRPr="003D5468" w:rsidTr="001A0D51">
        <w:tc>
          <w:tcPr>
            <w:tcW w:w="4863" w:type="dxa"/>
            <w:tcBorders>
              <w:bottom w:val="single" w:sz="4" w:space="0" w:color="auto"/>
            </w:tcBorders>
            <w:shd w:val="clear" w:color="auto" w:fill="B4C6E7" w:themeFill="accent1" w:themeFillTint="66"/>
          </w:tcPr>
          <w:p w:rsidR="00E92C33" w:rsidRPr="003D5468" w:rsidRDefault="00E92C33" w:rsidP="001008EB">
            <w:pPr>
              <w:numPr>
                <w:ilvl w:val="0"/>
                <w:numId w:val="8"/>
              </w:numPr>
            </w:pPr>
            <w:r w:rsidRPr="003D5468">
              <w:t>Ключово географско разположение;</w:t>
            </w:r>
          </w:p>
          <w:p w:rsidR="00E92C33" w:rsidRPr="003D5468" w:rsidRDefault="00E92C33" w:rsidP="00E92C33">
            <w:pPr>
              <w:numPr>
                <w:ilvl w:val="0"/>
                <w:numId w:val="8"/>
              </w:numPr>
            </w:pPr>
            <w:r w:rsidRPr="003D5468">
              <w:t>Висок пазарен дял</w:t>
            </w:r>
            <w:r w:rsidR="00651CB8">
              <w:t>;</w:t>
            </w:r>
          </w:p>
          <w:p w:rsidR="00E92C33" w:rsidRPr="003D5468" w:rsidRDefault="00E92C33" w:rsidP="00E92C33">
            <w:pPr>
              <w:numPr>
                <w:ilvl w:val="0"/>
                <w:numId w:val="8"/>
              </w:numPr>
            </w:pPr>
            <w:r w:rsidRPr="003D5468">
              <w:t>Наличие на голям капацитет;</w:t>
            </w:r>
          </w:p>
          <w:p w:rsidR="00E92C33" w:rsidRPr="003D5468" w:rsidRDefault="00E92C33" w:rsidP="00E92C33">
            <w:pPr>
              <w:numPr>
                <w:ilvl w:val="0"/>
                <w:numId w:val="8"/>
              </w:numPr>
            </w:pPr>
            <w:r w:rsidRPr="003D5468">
              <w:t>Гъвкава търговска политика;</w:t>
            </w:r>
          </w:p>
          <w:p w:rsidR="00E92C33" w:rsidRPr="003D5468" w:rsidRDefault="00E92C33" w:rsidP="00E92C33">
            <w:pPr>
              <w:numPr>
                <w:ilvl w:val="0"/>
                <w:numId w:val="8"/>
              </w:numPr>
            </w:pPr>
            <w:r w:rsidRPr="003D5468">
              <w:t>Професионализъм и традиции</w:t>
            </w:r>
          </w:p>
          <w:p w:rsidR="00E92C33" w:rsidRPr="003D5468" w:rsidRDefault="00E92C33" w:rsidP="00E92C33">
            <w:pPr>
              <w:numPr>
                <w:ilvl w:val="0"/>
                <w:numId w:val="8"/>
              </w:numPr>
              <w:rPr>
                <w:sz w:val="26"/>
                <w:szCs w:val="26"/>
              </w:rPr>
            </w:pPr>
            <w:r w:rsidRPr="003D5468">
              <w:t>Изградени сухоземни и жп връзки с националната пътна и жп мрежа;</w:t>
            </w:r>
          </w:p>
          <w:p w:rsidR="006A52D1" w:rsidRPr="003D5468" w:rsidRDefault="00E92C33" w:rsidP="00E92C33">
            <w:pPr>
              <w:numPr>
                <w:ilvl w:val="0"/>
                <w:numId w:val="8"/>
              </w:numPr>
              <w:rPr>
                <w:sz w:val="26"/>
                <w:szCs w:val="26"/>
              </w:rPr>
            </w:pPr>
            <w:r w:rsidRPr="003D5468">
              <w:t>Качество на услугите</w:t>
            </w:r>
            <w:r w:rsidR="006B289E" w:rsidRPr="003D5468">
              <w:t>;</w:t>
            </w:r>
          </w:p>
        </w:tc>
        <w:tc>
          <w:tcPr>
            <w:tcW w:w="4850" w:type="dxa"/>
            <w:tcBorders>
              <w:bottom w:val="single" w:sz="4" w:space="0" w:color="auto"/>
            </w:tcBorders>
            <w:shd w:val="clear" w:color="auto" w:fill="DBDBDB" w:themeFill="accent3" w:themeFillTint="66"/>
          </w:tcPr>
          <w:p w:rsidR="00E92C33" w:rsidRPr="003D5468" w:rsidRDefault="00E92C33" w:rsidP="00E92C33">
            <w:pPr>
              <w:numPr>
                <w:ilvl w:val="0"/>
                <w:numId w:val="8"/>
              </w:numPr>
              <w:ind w:left="408"/>
            </w:pPr>
            <w:r w:rsidRPr="003D5468">
              <w:t xml:space="preserve">Остаряла </w:t>
            </w:r>
            <w:r w:rsidR="003C339F">
              <w:t xml:space="preserve">челна </w:t>
            </w:r>
            <w:r w:rsidRPr="003D5468">
              <w:t>техника и инфраструктура;</w:t>
            </w:r>
          </w:p>
          <w:p w:rsidR="00E92C33" w:rsidRPr="003D5468" w:rsidRDefault="00E92C33" w:rsidP="00E92C33">
            <w:pPr>
              <w:numPr>
                <w:ilvl w:val="0"/>
                <w:numId w:val="8"/>
              </w:numPr>
              <w:ind w:left="408"/>
            </w:pPr>
            <w:r w:rsidRPr="003D5468">
              <w:t>Недостиг на закрити складови площи;</w:t>
            </w:r>
          </w:p>
          <w:p w:rsidR="006A52D1" w:rsidRPr="003D5468" w:rsidRDefault="00E92C33" w:rsidP="00E92C33">
            <w:pPr>
              <w:numPr>
                <w:ilvl w:val="0"/>
                <w:numId w:val="8"/>
              </w:numPr>
              <w:ind w:left="408"/>
              <w:rPr>
                <w:sz w:val="26"/>
                <w:szCs w:val="26"/>
              </w:rPr>
            </w:pPr>
            <w:r w:rsidRPr="003D5468">
              <w:t>Силно влияние на климатичните условия</w:t>
            </w:r>
            <w:r w:rsidR="006A52D1" w:rsidRPr="003D5468">
              <w:t>;</w:t>
            </w:r>
          </w:p>
          <w:p w:rsidR="006A52D1" w:rsidRPr="003D5468" w:rsidRDefault="006A52D1" w:rsidP="003317D1">
            <w:pPr>
              <w:ind w:left="408"/>
            </w:pPr>
          </w:p>
        </w:tc>
      </w:tr>
      <w:tr w:rsidR="006A52D1" w:rsidRPr="003D5468" w:rsidTr="001A0D51">
        <w:tc>
          <w:tcPr>
            <w:tcW w:w="4863" w:type="dxa"/>
            <w:shd w:val="clear" w:color="auto" w:fill="538135" w:themeFill="accent6" w:themeFillShade="BF"/>
          </w:tcPr>
          <w:p w:rsidR="006A52D1" w:rsidRPr="003D5468" w:rsidRDefault="006A52D1" w:rsidP="005A5A52">
            <w:pPr>
              <w:pStyle w:val="Title"/>
            </w:pPr>
            <w:r w:rsidRPr="003D5468">
              <w:t>ВЪЗМОЖНОСТИ</w:t>
            </w:r>
          </w:p>
        </w:tc>
        <w:tc>
          <w:tcPr>
            <w:tcW w:w="4850" w:type="dxa"/>
            <w:shd w:val="clear" w:color="auto" w:fill="C45911" w:themeFill="accent2" w:themeFillShade="BF"/>
          </w:tcPr>
          <w:p w:rsidR="006A52D1" w:rsidRPr="003D5468" w:rsidRDefault="006A52D1" w:rsidP="005A5A52">
            <w:pPr>
              <w:pStyle w:val="Title"/>
            </w:pPr>
            <w:r w:rsidRPr="003D5468">
              <w:t>ЗАПЛАХИ</w:t>
            </w:r>
          </w:p>
        </w:tc>
      </w:tr>
      <w:tr w:rsidR="006A52D1" w:rsidRPr="003D5468" w:rsidTr="001A0D51">
        <w:trPr>
          <w:trHeight w:val="2204"/>
        </w:trPr>
        <w:tc>
          <w:tcPr>
            <w:tcW w:w="4863" w:type="dxa"/>
            <w:shd w:val="clear" w:color="auto" w:fill="C5E0B3" w:themeFill="accent6" w:themeFillTint="66"/>
          </w:tcPr>
          <w:p w:rsidR="00E92C33" w:rsidRPr="003D5468" w:rsidRDefault="00E92C33" w:rsidP="00E92C33">
            <w:pPr>
              <w:numPr>
                <w:ilvl w:val="0"/>
                <w:numId w:val="8"/>
              </w:numPr>
            </w:pPr>
            <w:r w:rsidRPr="003D5468">
              <w:t>Модернизация на съществуващата инфраструктура и техника за обработка на товари;</w:t>
            </w:r>
          </w:p>
          <w:p w:rsidR="00E92C33" w:rsidRPr="003D5468" w:rsidRDefault="00E92C33" w:rsidP="00E92C33">
            <w:pPr>
              <w:numPr>
                <w:ilvl w:val="0"/>
                <w:numId w:val="8"/>
              </w:numPr>
            </w:pPr>
            <w:r w:rsidRPr="003D5468">
              <w:t>Изграждане на нови складове;</w:t>
            </w:r>
          </w:p>
          <w:p w:rsidR="006A52D1" w:rsidRPr="003D5468" w:rsidRDefault="00E92C33" w:rsidP="00E92C33">
            <w:pPr>
              <w:numPr>
                <w:ilvl w:val="0"/>
                <w:numId w:val="8"/>
              </w:numPr>
              <w:rPr>
                <w:sz w:val="26"/>
                <w:szCs w:val="26"/>
              </w:rPr>
            </w:pPr>
            <w:r w:rsidRPr="003D5468">
              <w:t>Обособяване на специализирани площи/терминали</w:t>
            </w:r>
            <w:r w:rsidR="006B289E" w:rsidRPr="003D5468">
              <w:t>.</w:t>
            </w:r>
          </w:p>
        </w:tc>
        <w:tc>
          <w:tcPr>
            <w:tcW w:w="4850" w:type="dxa"/>
            <w:shd w:val="clear" w:color="auto" w:fill="F7CAAC" w:themeFill="accent2" w:themeFillTint="66"/>
          </w:tcPr>
          <w:p w:rsidR="00E92C33" w:rsidRPr="003D5468" w:rsidRDefault="00E92C33" w:rsidP="00E92C33">
            <w:pPr>
              <w:numPr>
                <w:ilvl w:val="0"/>
                <w:numId w:val="8"/>
              </w:numPr>
              <w:ind w:left="408" w:hanging="408"/>
            </w:pPr>
            <w:r w:rsidRPr="003D5468">
              <w:t>Силен конкурентен натиск и риск от загуба на клиенти;</w:t>
            </w:r>
          </w:p>
          <w:p w:rsidR="00E92C33" w:rsidRPr="003D5468" w:rsidRDefault="00E92C33" w:rsidP="00E92C33">
            <w:pPr>
              <w:numPr>
                <w:ilvl w:val="0"/>
                <w:numId w:val="8"/>
              </w:numPr>
              <w:ind w:left="408" w:hanging="408"/>
              <w:rPr>
                <w:b/>
                <w:u w:val="single"/>
              </w:rPr>
            </w:pPr>
            <w:r w:rsidRPr="003D5468">
              <w:t>Влияние на неблагоприятните климатични условия;</w:t>
            </w:r>
          </w:p>
          <w:p w:rsidR="00E92C33" w:rsidRPr="003D5468" w:rsidRDefault="00E92C33" w:rsidP="00E92C33">
            <w:pPr>
              <w:numPr>
                <w:ilvl w:val="0"/>
                <w:numId w:val="8"/>
              </w:numPr>
              <w:ind w:left="408" w:hanging="408"/>
              <w:rPr>
                <w:b/>
                <w:u w:val="single"/>
              </w:rPr>
            </w:pPr>
            <w:r w:rsidRPr="003D5468">
              <w:t>Влияние на геополитически и глобални икономически процеси;</w:t>
            </w:r>
          </w:p>
          <w:p w:rsidR="006A52D1" w:rsidRPr="003D5468" w:rsidRDefault="00E92C33" w:rsidP="00E92C33">
            <w:pPr>
              <w:numPr>
                <w:ilvl w:val="0"/>
                <w:numId w:val="8"/>
              </w:numPr>
              <w:ind w:left="408" w:hanging="408"/>
              <w:rPr>
                <w:sz w:val="26"/>
                <w:szCs w:val="26"/>
              </w:rPr>
            </w:pPr>
            <w:r w:rsidRPr="003D5468">
              <w:t>Риск от текучество на персонала</w:t>
            </w:r>
            <w:r w:rsidR="006A52D1" w:rsidRPr="003D5468">
              <w:t>.</w:t>
            </w:r>
          </w:p>
        </w:tc>
      </w:tr>
    </w:tbl>
    <w:bookmarkEnd w:id="27"/>
    <w:p w:rsidR="00E92C33" w:rsidRPr="003D5468" w:rsidRDefault="00E92C33" w:rsidP="00E92C33">
      <w:pPr>
        <w:spacing w:after="120"/>
        <w:ind w:firstLine="709"/>
        <w:jc w:val="both"/>
      </w:pPr>
      <w:r w:rsidRPr="003D5468">
        <w:lastRenderedPageBreak/>
        <w:t xml:space="preserve">На територията </w:t>
      </w:r>
      <w:r w:rsidRPr="003D5468">
        <w:rPr>
          <w:b/>
          <w:u w:val="single"/>
        </w:rPr>
        <w:t>само на гр. Русе има четири работещи</w:t>
      </w:r>
      <w:r w:rsidRPr="003D5468">
        <w:t xml:space="preserve"> товарни терминала – два с национално и два с регионално значение, като към момента </w:t>
      </w:r>
      <w:r w:rsidRPr="003D5468">
        <w:rPr>
          <w:b/>
        </w:rPr>
        <w:t>три от тях са конкурентни дружества</w:t>
      </w:r>
      <w:r w:rsidRPr="003D5468">
        <w:t xml:space="preserve">. Конкуренти са още терминалите в Свищов, Сомовит, както и румънските Галац, СБЗ – Гюргево и др. </w:t>
      </w:r>
      <w:bookmarkStart w:id="28" w:name="_Hlk506990187"/>
      <w:r w:rsidRPr="003D5468">
        <w:t>За определени услуги, като складирането например, има конкуренти, както и клиенти, които изграждат собствени бази</w:t>
      </w:r>
      <w:bookmarkEnd w:id="28"/>
      <w:r w:rsidRPr="003D5468">
        <w:t>.</w:t>
      </w:r>
    </w:p>
    <w:p w:rsidR="00E92C33" w:rsidRPr="003D5468" w:rsidRDefault="00E92C33" w:rsidP="00E92C33">
      <w:pPr>
        <w:spacing w:after="120"/>
        <w:ind w:firstLine="709"/>
        <w:jc w:val="both"/>
      </w:pPr>
      <w:r w:rsidRPr="003D5468">
        <w:t>През 201</w:t>
      </w:r>
      <w:r w:rsidR="00B440B0">
        <w:t xml:space="preserve">9 </w:t>
      </w:r>
      <w:r w:rsidRPr="003D5468">
        <w:t xml:space="preserve">г. основното работещо звено в комплекса отново беше пристанищен терминал Русе-изток. По този начин гледната точка за конкуренцията е пречупена през тенденциите и влиянията за това пристанище. </w:t>
      </w:r>
    </w:p>
    <w:p w:rsidR="00E92C33" w:rsidRPr="003D5468" w:rsidRDefault="00E92C33" w:rsidP="00E92C33">
      <w:pPr>
        <w:spacing w:after="120"/>
        <w:ind w:firstLine="709"/>
        <w:jc w:val="both"/>
      </w:pPr>
      <w:r w:rsidRPr="003D5468">
        <w:rPr>
          <w:b/>
        </w:rPr>
        <w:t>Русе-изток е един от лидерите на пазара на пристанищни услуги в българския участък на р. Дунав</w:t>
      </w:r>
      <w:r w:rsidRPr="003D5468">
        <w:t xml:space="preserve">. На следваща позиция по капацитет е пристанище Лом. То е отдадено на концесия през 2013г. и обработва широка гама от товари – въглища, кокс, зърно, метали, торове и др. Пристанище Свищов, концесионирано през 2007г. също реализира големи обеми, но за него е специфична обработката на съществен тонаж инертни материали. В Сомовит се претоварват основно торове и зърно в размер на около 100 – 120 хил.тона годишно. </w:t>
      </w:r>
    </w:p>
    <w:p w:rsidR="00974AF0" w:rsidRPr="003D5468" w:rsidRDefault="00E92C33" w:rsidP="00E92C33">
      <w:pPr>
        <w:ind w:firstLine="709"/>
        <w:jc w:val="both"/>
      </w:pPr>
      <w:r w:rsidRPr="003D5468">
        <w:t>Както беше вече споменато, преки конкуренти за Русе-изток са Русе-запад и Булмаркет</w:t>
      </w:r>
      <w:r w:rsidR="005E7249" w:rsidRPr="003D5468">
        <w:t>.</w:t>
      </w:r>
    </w:p>
    <w:p w:rsidR="005E7249" w:rsidRPr="003D5468" w:rsidRDefault="005E7249" w:rsidP="005E7249">
      <w:pPr>
        <w:ind w:firstLine="709"/>
        <w:jc w:val="both"/>
      </w:pPr>
      <w:r w:rsidRPr="003D5468">
        <w:t xml:space="preserve"> </w:t>
      </w:r>
    </w:p>
    <w:p w:rsidR="009A792C" w:rsidRPr="00025141" w:rsidRDefault="009A792C" w:rsidP="00DD76F5">
      <w:pPr>
        <w:numPr>
          <w:ilvl w:val="1"/>
          <w:numId w:val="6"/>
        </w:numPr>
        <w:tabs>
          <w:tab w:val="left" w:pos="1134"/>
        </w:tabs>
        <w:spacing w:before="120" w:after="120"/>
        <w:ind w:hanging="1091"/>
        <w:jc w:val="both"/>
        <w:rPr>
          <w:b/>
          <w:u w:val="single"/>
        </w:rPr>
      </w:pPr>
      <w:r w:rsidRPr="00025141">
        <w:rPr>
          <w:b/>
          <w:u w:val="single"/>
        </w:rPr>
        <w:t>Маркетингова политика</w:t>
      </w:r>
    </w:p>
    <w:p w:rsidR="00E92C33" w:rsidRPr="00025141" w:rsidRDefault="00E92C33" w:rsidP="00E92C33">
      <w:pPr>
        <w:spacing w:after="120"/>
        <w:ind w:firstLine="851"/>
        <w:jc w:val="both"/>
      </w:pPr>
      <w:r w:rsidRPr="00025141">
        <w:t xml:space="preserve">Маркетинговата политика на „Пристанищен комплекс – Русе“ ЕАД за поредна година е фокусирана върху удовлетворяване изискванията на клиентите. </w:t>
      </w:r>
    </w:p>
    <w:p w:rsidR="00E92C33" w:rsidRPr="00025141" w:rsidRDefault="00E92C33" w:rsidP="00E92C33">
      <w:pPr>
        <w:spacing w:after="120"/>
        <w:ind w:firstLine="851"/>
        <w:jc w:val="both"/>
      </w:pPr>
      <w:r w:rsidRPr="00025141">
        <w:t>Традиционното анкетното проучване за степента на клие</w:t>
      </w:r>
      <w:r w:rsidR="00B564B8" w:rsidRPr="00025141">
        <w:t>нтската удовлетвореност (от 201</w:t>
      </w:r>
      <w:r w:rsidR="00025141" w:rsidRPr="00025141">
        <w:t xml:space="preserve">9 </w:t>
      </w:r>
      <w:r w:rsidRPr="00025141">
        <w:t>г.) за поредна година постави висока оценка на качеството на предоставяните услуги, както и на надеждността, с която контрагентите оценяват съвместната си работа с дружеството.</w:t>
      </w:r>
    </w:p>
    <w:p w:rsidR="00E92C33" w:rsidRPr="00025141" w:rsidRDefault="00B564B8" w:rsidP="00B564B8">
      <w:pPr>
        <w:spacing w:after="120"/>
        <w:ind w:firstLine="851"/>
        <w:jc w:val="both"/>
      </w:pPr>
      <w:r w:rsidRPr="00025141">
        <w:t xml:space="preserve">Конкуренцията е начин за установяване, какви са потребностите на фирмите, как и от кого най-добре да бъдат задоволени. </w:t>
      </w:r>
      <w:r w:rsidR="00E92C33" w:rsidRPr="00025141">
        <w:t>С оглед на постоянно засилващата се конкуренция в сектора на предлагане на пристанищни услуги в регион Русе, дружеството предприема мерки да задържи своите клиенти и привлече нови чрез прилагане на гъвкави ценови условия и услуги.</w:t>
      </w:r>
    </w:p>
    <w:p w:rsidR="00E92C33" w:rsidRPr="00025141" w:rsidRDefault="00E92C33" w:rsidP="00E92C33">
      <w:pPr>
        <w:spacing w:after="120"/>
        <w:ind w:firstLine="851"/>
        <w:jc w:val="both"/>
      </w:pPr>
      <w:r w:rsidRPr="00025141">
        <w:t>Що се отнася до предлаганите услуги, целите и плановете на дружеството за поредна година бяха фокусирани върху усъвършенстването на услуги с перспективи за развитие, търсене на възможности за увеличаване на закритата складова площ и др.</w:t>
      </w:r>
    </w:p>
    <w:p w:rsidR="00E92C33" w:rsidRPr="00025141" w:rsidRDefault="00E92C33" w:rsidP="00E92C33">
      <w:pPr>
        <w:spacing w:after="120"/>
        <w:ind w:firstLine="851"/>
        <w:jc w:val="both"/>
      </w:pPr>
      <w:r w:rsidRPr="00025141">
        <w:t>Рекламата и поддържането на добро ниво на информираност сред настоящите и потенциални клиенти се осъществява чрез следните канали:</w:t>
      </w:r>
    </w:p>
    <w:p w:rsidR="00E92C33" w:rsidRPr="00025141" w:rsidRDefault="00E92C33" w:rsidP="00E92C33">
      <w:pPr>
        <w:spacing w:after="120"/>
        <w:ind w:firstLine="851"/>
        <w:jc w:val="both"/>
      </w:pPr>
      <w:r w:rsidRPr="00025141">
        <w:t>Директна комуникация с клиентите;</w:t>
      </w:r>
    </w:p>
    <w:p w:rsidR="00E92C33" w:rsidRPr="00025141" w:rsidRDefault="00E92C33" w:rsidP="00E92C33">
      <w:pPr>
        <w:spacing w:after="120"/>
        <w:ind w:firstLine="851"/>
        <w:jc w:val="both"/>
      </w:pPr>
      <w:r w:rsidRPr="00025141">
        <w:t>Интернет страницата на дружеството;</w:t>
      </w:r>
    </w:p>
    <w:p w:rsidR="00E92C33" w:rsidRPr="00025141" w:rsidRDefault="00E92C33" w:rsidP="00E92C33">
      <w:pPr>
        <w:spacing w:after="120"/>
        <w:ind w:firstLine="851"/>
        <w:jc w:val="both"/>
      </w:pPr>
      <w:r w:rsidRPr="00025141">
        <w:t>Периодични публикации в местни и регионални печатни и електронни издания;</w:t>
      </w:r>
    </w:p>
    <w:p w:rsidR="00E92C33" w:rsidRPr="00025141" w:rsidRDefault="00E92C33" w:rsidP="00E92C33">
      <w:pPr>
        <w:spacing w:after="120"/>
        <w:ind w:firstLine="851"/>
        <w:jc w:val="both"/>
      </w:pPr>
      <w:r w:rsidRPr="00025141">
        <w:t>Ежегодно се изработват рекламни материали, които се разпространяват сред клиенти и бизнес контрагенти.</w:t>
      </w:r>
    </w:p>
    <w:p w:rsidR="0094550C" w:rsidRPr="003D5468" w:rsidRDefault="00B564B8" w:rsidP="00E92C33">
      <w:pPr>
        <w:spacing w:after="120"/>
        <w:ind w:firstLine="851"/>
        <w:jc w:val="both"/>
        <w:rPr>
          <w:lang w:val="en-US"/>
        </w:rPr>
      </w:pPr>
      <w:r w:rsidRPr="00025141">
        <w:t>През 2019</w:t>
      </w:r>
      <w:r w:rsidR="00066B07" w:rsidRPr="00025141">
        <w:t xml:space="preserve"> </w:t>
      </w:r>
      <w:r w:rsidR="00E92C33" w:rsidRPr="00025141">
        <w:t xml:space="preserve">г. дружеството периодично излъчваше публикации в различни  специализирани международни издания, предоставяйки информация за предлаганите услуги и извършваните дейности. С оглед </w:t>
      </w:r>
      <w:r w:rsidRPr="00025141">
        <w:t>увеличаването на глобализационни</w:t>
      </w:r>
      <w:r w:rsidR="00E92C33" w:rsidRPr="00025141">
        <w:t>те процеси, все по-свободния международен поток от стоки и услуги, на това направление отново ще бъде обърнато специално внимание, с цел привличане на клиенти, които са извън зависимостите на локалния пазар на регион Русе</w:t>
      </w:r>
      <w:r w:rsidR="00BB15C8" w:rsidRPr="00025141">
        <w:t>.</w:t>
      </w:r>
      <w:r w:rsidR="00BB15C8" w:rsidRPr="003D5468">
        <w:t xml:space="preserve"> </w:t>
      </w:r>
    </w:p>
    <w:p w:rsidR="00D35F52" w:rsidRPr="003D5468" w:rsidRDefault="00D35F52" w:rsidP="00E92C33">
      <w:pPr>
        <w:spacing w:after="120"/>
        <w:ind w:firstLine="851"/>
        <w:jc w:val="both"/>
        <w:rPr>
          <w:lang w:val="en-US"/>
        </w:rPr>
      </w:pPr>
    </w:p>
    <w:p w:rsidR="00857F16" w:rsidRPr="00025141" w:rsidRDefault="00857F16" w:rsidP="00DD76F5">
      <w:pPr>
        <w:numPr>
          <w:ilvl w:val="1"/>
          <w:numId w:val="6"/>
        </w:numPr>
        <w:tabs>
          <w:tab w:val="left" w:pos="1134"/>
        </w:tabs>
        <w:spacing w:after="120"/>
        <w:ind w:hanging="1091"/>
        <w:jc w:val="both"/>
        <w:rPr>
          <w:b/>
          <w:u w:val="single"/>
        </w:rPr>
      </w:pPr>
      <w:r w:rsidRPr="003D5468">
        <w:rPr>
          <w:b/>
          <w:u w:val="single"/>
        </w:rPr>
        <w:lastRenderedPageBreak/>
        <w:t xml:space="preserve"> </w:t>
      </w:r>
      <w:r w:rsidRPr="00025141">
        <w:rPr>
          <w:b/>
          <w:u w:val="single"/>
        </w:rPr>
        <w:t>ДОСТАВЧИЦИ - взаимоотношения и зависимост</w:t>
      </w:r>
    </w:p>
    <w:p w:rsidR="006A52D1" w:rsidRPr="00025141" w:rsidRDefault="006A52D1" w:rsidP="006A52D1">
      <w:pPr>
        <w:spacing w:after="120"/>
        <w:ind w:firstLine="709"/>
        <w:jc w:val="both"/>
        <w:rPr>
          <w:lang w:val="en-US"/>
        </w:rPr>
      </w:pPr>
      <w:r w:rsidRPr="00025141">
        <w:t xml:space="preserve">Нормалната дейност на </w:t>
      </w:r>
      <w:r w:rsidR="00A06AD9" w:rsidRPr="00025141">
        <w:t>„</w:t>
      </w:r>
      <w:r w:rsidRPr="00025141">
        <w:t>Пристанищен комплекс</w:t>
      </w:r>
      <w:r w:rsidR="00A06AD9" w:rsidRPr="00025141">
        <w:t>–</w:t>
      </w:r>
      <w:r w:rsidRPr="00025141">
        <w:t>Русе</w:t>
      </w:r>
      <w:r w:rsidR="00A06AD9" w:rsidRPr="00025141">
        <w:t>“</w:t>
      </w:r>
      <w:r w:rsidRPr="00025141">
        <w:t xml:space="preserve"> ЕАД изисква осъществяването на доставки на редица</w:t>
      </w:r>
      <w:r w:rsidRPr="00025141">
        <w:rPr>
          <w:lang w:val="ru-RU"/>
        </w:rPr>
        <w:t xml:space="preserve"> стоки и услуги. </w:t>
      </w:r>
      <w:r w:rsidRPr="00025141">
        <w:t>В комплекса изборът на доставчици се извършва съгласно „Вътрешните правила за контрол на разходите и паричните средства на търговското дружество”, приети от Съвета на директорите, които са съобразени с реда и условията на Закона за обществените поръчки (ЗОП), Търговския закон и подзаконовите нормативни актове по прилагането му</w:t>
      </w:r>
      <w:r w:rsidR="006B289E" w:rsidRPr="00025141">
        <w:rPr>
          <w:lang w:val="en-US"/>
        </w:rPr>
        <w:t>.</w:t>
      </w:r>
    </w:p>
    <w:p w:rsidR="00857F16" w:rsidRPr="003D5468" w:rsidRDefault="006A52D1" w:rsidP="006A52D1">
      <w:pPr>
        <w:spacing w:after="120"/>
        <w:ind w:firstLine="709"/>
        <w:jc w:val="both"/>
      </w:pPr>
      <w:r w:rsidRPr="00025141">
        <w:t xml:space="preserve">Ключово значение за качеството на предоставяните услуги имат доставките на </w:t>
      </w:r>
      <w:r w:rsidRPr="00025141">
        <w:rPr>
          <w:b/>
        </w:rPr>
        <w:t>електроенергия</w:t>
      </w:r>
      <w:r w:rsidRPr="00025141">
        <w:t xml:space="preserve">, </w:t>
      </w:r>
      <w:r w:rsidRPr="00025141">
        <w:rPr>
          <w:b/>
        </w:rPr>
        <w:t>резервни части и материали, гориво-смазочни материали, охрана</w:t>
      </w:r>
      <w:r w:rsidRPr="00025141">
        <w:t xml:space="preserve"> и </w:t>
      </w:r>
      <w:r w:rsidRPr="00025141">
        <w:rPr>
          <w:b/>
        </w:rPr>
        <w:t>комуникации</w:t>
      </w:r>
      <w:r w:rsidRPr="00025141">
        <w:t>.</w:t>
      </w:r>
    </w:p>
    <w:p w:rsidR="000F1C5F" w:rsidRPr="003D5468" w:rsidRDefault="00576364" w:rsidP="00A06AD9">
      <w:pPr>
        <w:pStyle w:val="Heading2"/>
        <w:numPr>
          <w:ilvl w:val="4"/>
          <w:numId w:val="2"/>
        </w:numPr>
        <w:tabs>
          <w:tab w:val="num" w:pos="540"/>
          <w:tab w:val="left" w:pos="709"/>
        </w:tabs>
        <w:spacing w:before="240" w:after="120"/>
        <w:ind w:firstLine="709"/>
        <w:rPr>
          <w:rFonts w:ascii="Times New Roman" w:hAnsi="Times New Roman"/>
          <w:i/>
          <w:sz w:val="24"/>
          <w:u w:val="single"/>
        </w:rPr>
      </w:pPr>
      <w:bookmarkStart w:id="29" w:name="_Toc40777295"/>
      <w:r w:rsidRPr="003D5468">
        <w:rPr>
          <w:rFonts w:ascii="Times New Roman" w:hAnsi="Times New Roman"/>
          <w:i/>
          <w:sz w:val="24"/>
          <w:u w:val="single"/>
        </w:rPr>
        <w:t>4</w:t>
      </w:r>
      <w:r w:rsidR="009B762E" w:rsidRPr="003D5468">
        <w:rPr>
          <w:rFonts w:ascii="Times New Roman" w:hAnsi="Times New Roman"/>
          <w:i/>
          <w:sz w:val="24"/>
          <w:u w:val="single"/>
        </w:rPr>
        <w:t>)</w:t>
      </w:r>
      <w:r w:rsidR="005D2DC6" w:rsidRPr="003D5468">
        <w:rPr>
          <w:rFonts w:ascii="Times New Roman" w:hAnsi="Times New Roman"/>
          <w:i/>
          <w:sz w:val="24"/>
          <w:u w:val="single"/>
        </w:rPr>
        <w:t xml:space="preserve">  </w:t>
      </w:r>
      <w:r w:rsidR="000F1C5F" w:rsidRPr="003D5468">
        <w:rPr>
          <w:rFonts w:ascii="Times New Roman" w:hAnsi="Times New Roman"/>
          <w:i/>
          <w:smallCaps/>
          <w:sz w:val="24"/>
          <w:u w:val="single"/>
        </w:rPr>
        <w:t>Изпълнение на инвестиционната програма</w:t>
      </w:r>
      <w:bookmarkEnd w:id="24"/>
      <w:bookmarkEnd w:id="29"/>
    </w:p>
    <w:p w:rsidR="00E92C33" w:rsidRPr="008D573B" w:rsidRDefault="00E92C33" w:rsidP="00E92C33">
      <w:pPr>
        <w:spacing w:after="120"/>
        <w:ind w:firstLine="708"/>
        <w:jc w:val="both"/>
        <w:rPr>
          <w:b/>
        </w:rPr>
      </w:pPr>
      <w:r w:rsidRPr="008D573B">
        <w:rPr>
          <w:b/>
        </w:rPr>
        <w:t>Всички инвестиции и дейности по поддръжка се изпълняват със собствени средства на дружеството.</w:t>
      </w:r>
    </w:p>
    <w:p w:rsidR="00E92C33" w:rsidRPr="000D2B4D" w:rsidRDefault="00E92C33" w:rsidP="00E92C33">
      <w:pPr>
        <w:spacing w:after="120"/>
        <w:ind w:firstLine="708"/>
        <w:rPr>
          <w:highlight w:val="yellow"/>
        </w:rPr>
      </w:pPr>
      <w:r w:rsidRPr="008D573B">
        <w:rPr>
          <w:b/>
        </w:rPr>
        <w:t>Общо инвестициите през 201</w:t>
      </w:r>
      <w:r w:rsidR="00D21D98" w:rsidRPr="008D573B">
        <w:rPr>
          <w:b/>
        </w:rPr>
        <w:t>9</w:t>
      </w:r>
      <w:r w:rsidRPr="008D573B">
        <w:rPr>
          <w:b/>
        </w:rPr>
        <w:t xml:space="preserve"> г. в нова техника и технологии възлизат на</w:t>
      </w:r>
      <w:r w:rsidRPr="008D573B">
        <w:t xml:space="preserve"> </w:t>
      </w:r>
      <w:r w:rsidR="00D21D98" w:rsidRPr="008D573B">
        <w:rPr>
          <w:b/>
        </w:rPr>
        <w:t>400</w:t>
      </w:r>
      <w:r w:rsidRPr="008D573B">
        <w:rPr>
          <w:b/>
        </w:rPr>
        <w:t xml:space="preserve"> хил. лв. </w:t>
      </w:r>
      <w:r w:rsidRPr="008D573B">
        <w:t xml:space="preserve"> Те са обезпечили закупуването на:</w:t>
      </w:r>
    </w:p>
    <w:p w:rsidR="00E92C33" w:rsidRPr="008D573B" w:rsidRDefault="000D2B4D" w:rsidP="00E92C33">
      <w:pPr>
        <w:pStyle w:val="BodyTextIndent"/>
        <w:numPr>
          <w:ilvl w:val="0"/>
          <w:numId w:val="17"/>
        </w:numPr>
        <w:tabs>
          <w:tab w:val="left" w:pos="0"/>
        </w:tabs>
        <w:spacing w:before="120" w:after="120"/>
      </w:pPr>
      <w:r w:rsidRPr="008D573B">
        <w:t xml:space="preserve">Колесен челен товарач </w:t>
      </w:r>
      <w:r w:rsidRPr="008D573B">
        <w:rPr>
          <w:lang w:val="en-US"/>
        </w:rPr>
        <w:t xml:space="preserve">Komatsu </w:t>
      </w:r>
      <w:r w:rsidRPr="008D573B">
        <w:t>на стойност 356 хил</w:t>
      </w:r>
      <w:r w:rsidR="00FB5EF1" w:rsidRPr="008D573B">
        <w:t xml:space="preserve">. </w:t>
      </w:r>
      <w:r w:rsidRPr="008D573B">
        <w:t>лв.</w:t>
      </w:r>
      <w:r w:rsidR="00E92C33" w:rsidRPr="008D573B">
        <w:t>.;</w:t>
      </w:r>
    </w:p>
    <w:p w:rsidR="00E92C33" w:rsidRPr="008D573B" w:rsidRDefault="00D21D98" w:rsidP="00E92C33">
      <w:pPr>
        <w:pStyle w:val="BodyTextIndent"/>
        <w:numPr>
          <w:ilvl w:val="0"/>
          <w:numId w:val="17"/>
        </w:numPr>
        <w:tabs>
          <w:tab w:val="left" w:pos="0"/>
        </w:tabs>
        <w:spacing w:before="120" w:after="120"/>
      </w:pPr>
      <w:r w:rsidRPr="008D573B">
        <w:t xml:space="preserve">Грайфер за </w:t>
      </w:r>
      <w:r w:rsidR="000D2B4D" w:rsidRPr="008D573B">
        <w:t>ел.портален кран</w:t>
      </w:r>
      <w:r w:rsidR="00E92C33" w:rsidRPr="008D573B">
        <w:t xml:space="preserve">, на стойност </w:t>
      </w:r>
      <w:r w:rsidR="000D2B4D" w:rsidRPr="008D573B">
        <w:t>29</w:t>
      </w:r>
      <w:r w:rsidR="00E92C33" w:rsidRPr="008D573B">
        <w:t xml:space="preserve"> хил. лв.</w:t>
      </w:r>
    </w:p>
    <w:p w:rsidR="000D2B4D" w:rsidRPr="008D573B" w:rsidRDefault="000D2B4D" w:rsidP="00E92C33">
      <w:pPr>
        <w:pStyle w:val="BodyTextIndent"/>
        <w:numPr>
          <w:ilvl w:val="0"/>
          <w:numId w:val="17"/>
        </w:numPr>
        <w:tabs>
          <w:tab w:val="left" w:pos="0"/>
        </w:tabs>
        <w:spacing w:before="120" w:after="120"/>
      </w:pPr>
      <w:r w:rsidRPr="008D573B">
        <w:t>Компютърна техника – 3,3 хил.</w:t>
      </w:r>
      <w:r w:rsidR="00FB5EF1" w:rsidRPr="008D573B">
        <w:t xml:space="preserve"> </w:t>
      </w:r>
      <w:r w:rsidRPr="008D573B">
        <w:t>лв.</w:t>
      </w:r>
    </w:p>
    <w:p w:rsidR="00E92C33" w:rsidRPr="008D573B" w:rsidRDefault="000D2B4D" w:rsidP="00E92C33">
      <w:pPr>
        <w:pStyle w:val="BodyTextIndent"/>
        <w:numPr>
          <w:ilvl w:val="0"/>
          <w:numId w:val="17"/>
        </w:numPr>
        <w:tabs>
          <w:tab w:val="left" w:pos="0"/>
        </w:tabs>
        <w:spacing w:before="120" w:after="120"/>
      </w:pPr>
      <w:r w:rsidRPr="008D573B">
        <w:t>Нова бариера на портала на пристанищен терминал Русе - Изток – 2,4 хил. лв</w:t>
      </w:r>
      <w:r w:rsidR="00E92C33" w:rsidRPr="008D573B">
        <w:t xml:space="preserve">. </w:t>
      </w:r>
    </w:p>
    <w:p w:rsidR="00E92C33" w:rsidRPr="008D573B" w:rsidRDefault="000D2B4D" w:rsidP="00E92C33">
      <w:pPr>
        <w:pStyle w:val="BodyTextIndent"/>
        <w:numPr>
          <w:ilvl w:val="0"/>
          <w:numId w:val="17"/>
        </w:numPr>
        <w:tabs>
          <w:tab w:val="left" w:pos="0"/>
        </w:tabs>
        <w:spacing w:before="120" w:after="120"/>
      </w:pPr>
      <w:r w:rsidRPr="008D573B">
        <w:t>Стопански инвентар</w:t>
      </w:r>
      <w:r w:rsidR="00E92C33" w:rsidRPr="008D573B">
        <w:t xml:space="preserve"> – </w:t>
      </w:r>
      <w:r w:rsidRPr="008D573B">
        <w:t>9,5</w:t>
      </w:r>
      <w:r w:rsidR="00E92C33" w:rsidRPr="008D573B">
        <w:t xml:space="preserve"> хил. лв.;</w:t>
      </w:r>
    </w:p>
    <w:p w:rsidR="00E92C33" w:rsidRPr="005E77C9" w:rsidRDefault="00E92C33" w:rsidP="00E92C33">
      <w:pPr>
        <w:pStyle w:val="BodyTextIndent"/>
        <w:tabs>
          <w:tab w:val="left" w:pos="0"/>
        </w:tabs>
        <w:spacing w:before="120" w:after="120"/>
        <w:ind w:firstLine="709"/>
        <w:rPr>
          <w:b/>
        </w:rPr>
      </w:pPr>
      <w:r w:rsidRPr="00854B4C">
        <w:t>По отношение на изразходваните средства за планови и аварийни ремонти, и поддръжка на техниката и съоръженията, към края на 201</w:t>
      </w:r>
      <w:r w:rsidR="0076415D" w:rsidRPr="00854B4C">
        <w:t>9</w:t>
      </w:r>
      <w:r w:rsidRPr="00854B4C">
        <w:t xml:space="preserve"> г. те </w:t>
      </w:r>
      <w:r w:rsidR="00754257" w:rsidRPr="00854B4C">
        <w:t>са</w:t>
      </w:r>
      <w:r w:rsidRPr="00854B4C">
        <w:t xml:space="preserve"> </w:t>
      </w:r>
      <w:r w:rsidR="0076415D" w:rsidRPr="00854B4C">
        <w:rPr>
          <w:b/>
        </w:rPr>
        <w:t>147</w:t>
      </w:r>
      <w:r w:rsidRPr="00854B4C">
        <w:rPr>
          <w:b/>
        </w:rPr>
        <w:t xml:space="preserve"> хил. лв.</w:t>
      </w:r>
      <w:r w:rsidR="00DD530A" w:rsidRPr="00854B4C">
        <w:rPr>
          <w:b/>
        </w:rPr>
        <w:t xml:space="preserve"> </w:t>
      </w:r>
      <w:r w:rsidRPr="00854B4C">
        <w:t xml:space="preserve">От тях </w:t>
      </w:r>
      <w:r w:rsidR="0076415D" w:rsidRPr="00854B4C">
        <w:rPr>
          <w:lang w:val="en-US"/>
        </w:rPr>
        <w:t>8</w:t>
      </w:r>
      <w:r w:rsidR="00754257" w:rsidRPr="00854B4C">
        <w:t>2</w:t>
      </w:r>
      <w:r w:rsidRPr="00854B4C">
        <w:t xml:space="preserve"> хил</w:t>
      </w:r>
      <w:r w:rsidR="00FB5EF1" w:rsidRPr="00854B4C">
        <w:t xml:space="preserve"> </w:t>
      </w:r>
      <w:r w:rsidRPr="00854B4C">
        <w:t xml:space="preserve">.лв. са ремонт </w:t>
      </w:r>
      <w:r w:rsidR="0076415D" w:rsidRPr="00854B4C">
        <w:t>на м/к Мираж</w:t>
      </w:r>
      <w:r w:rsidRPr="00854B4C">
        <w:t xml:space="preserve">, </w:t>
      </w:r>
      <w:r w:rsidR="00754257" w:rsidRPr="00854B4C">
        <w:t>2</w:t>
      </w:r>
      <w:r w:rsidR="006F764F" w:rsidRPr="00854B4C">
        <w:t>7</w:t>
      </w:r>
      <w:r w:rsidR="00754257" w:rsidRPr="00854B4C">
        <w:t xml:space="preserve"> хил.</w:t>
      </w:r>
      <w:r w:rsidR="00FB5EF1" w:rsidRPr="00854B4C">
        <w:t xml:space="preserve"> </w:t>
      </w:r>
      <w:r w:rsidR="00754257" w:rsidRPr="00854B4C">
        <w:t xml:space="preserve">лв. са за ремонти и възстановяване на ел. мотори и брензи на порталните кранове, 22 </w:t>
      </w:r>
      <w:r w:rsidRPr="00854B4C">
        <w:t>хил.</w:t>
      </w:r>
      <w:r w:rsidR="00FB5EF1" w:rsidRPr="00854B4C">
        <w:t xml:space="preserve"> </w:t>
      </w:r>
      <w:r w:rsidRPr="00854B4C">
        <w:t xml:space="preserve">лв. </w:t>
      </w:r>
      <w:r w:rsidR="00854B4C">
        <w:t xml:space="preserve">за </w:t>
      </w:r>
      <w:r w:rsidR="00754257" w:rsidRPr="00854B4C">
        <w:t>ремонт на</w:t>
      </w:r>
      <w:r w:rsidR="006F764F" w:rsidRPr="00854B4C">
        <w:t xml:space="preserve"> тилова техника и пристанищни </w:t>
      </w:r>
      <w:r w:rsidR="006F764F" w:rsidRPr="005E77C9">
        <w:t>съоръжения</w:t>
      </w:r>
      <w:r w:rsidR="00754257" w:rsidRPr="005E77C9">
        <w:t xml:space="preserve"> и 8 хил.</w:t>
      </w:r>
      <w:r w:rsidR="00FB5EF1" w:rsidRPr="005E77C9">
        <w:t xml:space="preserve"> </w:t>
      </w:r>
      <w:r w:rsidR="00754257" w:rsidRPr="005E77C9">
        <w:t>лв</w:t>
      </w:r>
      <w:r w:rsidRPr="005E77C9">
        <w:t>.</w:t>
      </w:r>
      <w:r w:rsidR="00754257" w:rsidRPr="005E77C9">
        <w:t xml:space="preserve"> за авариен ремонт на кабел 20к</w:t>
      </w:r>
      <w:r w:rsidR="00754257" w:rsidRPr="005E77C9">
        <w:rPr>
          <w:lang w:val="en-US"/>
        </w:rPr>
        <w:t>W</w:t>
      </w:r>
      <w:r w:rsidR="00754257" w:rsidRPr="005E77C9">
        <w:t>.</w:t>
      </w:r>
    </w:p>
    <w:p w:rsidR="00E92C33" w:rsidRPr="005E77C9" w:rsidRDefault="00E92C33" w:rsidP="00E92C33">
      <w:pPr>
        <w:spacing w:after="120"/>
        <w:rPr>
          <w:b/>
        </w:rPr>
      </w:pPr>
      <w:r w:rsidRPr="005E77C9">
        <w:t xml:space="preserve"> </w:t>
      </w:r>
      <w:r w:rsidRPr="005E77C9">
        <w:tab/>
        <w:t xml:space="preserve">Съгласно сключения договор от 26.09.2006 г. с МТИТС, </w:t>
      </w:r>
      <w:r w:rsidR="00F123DA" w:rsidRPr="005E77C9">
        <w:t xml:space="preserve">предвиденото възнаграждение </w:t>
      </w:r>
      <w:r w:rsidRPr="005E77C9">
        <w:t xml:space="preserve"> по</w:t>
      </w:r>
      <w:r w:rsidRPr="005E77C9">
        <w:rPr>
          <w:b/>
        </w:rPr>
        <w:t xml:space="preserve"> „</w:t>
      </w:r>
      <w:r w:rsidRPr="005E77C9">
        <w:t xml:space="preserve">Програма за ремонт и рехабилитация на ДМА-публична държавна собственост към ДП „Пристанищна инфраструктура“ </w:t>
      </w:r>
      <w:r w:rsidRPr="005E77C9">
        <w:rPr>
          <w:b/>
        </w:rPr>
        <w:t>за 201</w:t>
      </w:r>
      <w:r w:rsidR="00754257" w:rsidRPr="005E77C9">
        <w:rPr>
          <w:b/>
        </w:rPr>
        <w:t>9</w:t>
      </w:r>
      <w:r w:rsidRPr="005E77C9">
        <w:rPr>
          <w:b/>
        </w:rPr>
        <w:t xml:space="preserve"> г.</w:t>
      </w:r>
      <w:r w:rsidRPr="005E77C9">
        <w:t xml:space="preserve"> на „Пристанищен комплекс- Русе“ ЕАД“ </w:t>
      </w:r>
      <w:r w:rsidR="00F123DA" w:rsidRPr="005E77C9">
        <w:t>е</w:t>
      </w:r>
      <w:r w:rsidRPr="005E77C9">
        <w:t xml:space="preserve"> </w:t>
      </w:r>
      <w:r w:rsidRPr="005E77C9">
        <w:rPr>
          <w:b/>
        </w:rPr>
        <w:t>1</w:t>
      </w:r>
      <w:r w:rsidR="00F123DA" w:rsidRPr="005E77C9">
        <w:rPr>
          <w:b/>
        </w:rPr>
        <w:t>10</w:t>
      </w:r>
      <w:r w:rsidRPr="005E77C9">
        <w:rPr>
          <w:b/>
        </w:rPr>
        <w:t xml:space="preserve"> хил. лв.</w:t>
      </w:r>
      <w:r w:rsidRPr="005E77C9">
        <w:t xml:space="preserve"> </w:t>
      </w:r>
    </w:p>
    <w:p w:rsidR="00E92C33" w:rsidRPr="005E77C9" w:rsidRDefault="00E92C33" w:rsidP="00E92C33">
      <w:pPr>
        <w:spacing w:after="120"/>
        <w:ind w:firstLine="708"/>
        <w:rPr>
          <w:b/>
        </w:rPr>
      </w:pPr>
      <w:r w:rsidRPr="005E77C9">
        <w:t xml:space="preserve">Според изчисленията базирани на </w:t>
      </w:r>
      <w:r w:rsidRPr="005E77C9">
        <w:rPr>
          <w:b/>
        </w:rPr>
        <w:t>реално обработени товари и пътници</w:t>
      </w:r>
      <w:r w:rsidRPr="005E77C9">
        <w:t>, дължимата сума, която ПК-Русе има ангажимент да инвестира през 201</w:t>
      </w:r>
      <w:r w:rsidR="00046705" w:rsidRPr="005E77C9">
        <w:t>9</w:t>
      </w:r>
      <w:r w:rsidRPr="005E77C9">
        <w:t xml:space="preserve"> г. възлиза </w:t>
      </w:r>
      <w:r w:rsidRPr="005E77C9">
        <w:rPr>
          <w:b/>
        </w:rPr>
        <w:t xml:space="preserve">на </w:t>
      </w:r>
      <w:r w:rsidR="00EF0AEA" w:rsidRPr="005E77C9">
        <w:rPr>
          <w:b/>
        </w:rPr>
        <w:t>109</w:t>
      </w:r>
      <w:r w:rsidRPr="005E77C9">
        <w:rPr>
          <w:b/>
        </w:rPr>
        <w:t xml:space="preserve"> хил. лв.</w:t>
      </w:r>
    </w:p>
    <w:p w:rsidR="00210AD3" w:rsidRPr="005E77C9" w:rsidRDefault="00210AD3" w:rsidP="00046705">
      <w:pPr>
        <w:spacing w:after="120"/>
        <w:ind w:firstLine="708"/>
        <w:jc w:val="both"/>
      </w:pPr>
      <w:r w:rsidRPr="005E77C9">
        <w:t xml:space="preserve">Обектите които бяха ремонтирани и рехабилитирани, в изпълнение на инвестиционната програма </w:t>
      </w:r>
      <w:r w:rsidRPr="005E77C9">
        <w:rPr>
          <w:b/>
          <w:bCs/>
        </w:rPr>
        <w:t>за 2019 г. са:</w:t>
      </w:r>
    </w:p>
    <w:p w:rsidR="00E92C33" w:rsidRPr="005E77C9" w:rsidRDefault="00046705" w:rsidP="002F2463">
      <w:pPr>
        <w:pStyle w:val="ListParagraph"/>
        <w:numPr>
          <w:ilvl w:val="0"/>
          <w:numId w:val="23"/>
        </w:numPr>
        <w:spacing w:after="120"/>
        <w:ind w:left="142" w:firstLine="851"/>
        <w:jc w:val="both"/>
      </w:pPr>
      <w:r w:rsidRPr="005E77C9">
        <w:t xml:space="preserve">Инженеринг </w:t>
      </w:r>
      <w:r w:rsidR="00210AD3" w:rsidRPr="005E77C9">
        <w:t xml:space="preserve">и </w:t>
      </w:r>
      <w:r w:rsidRPr="005E77C9">
        <w:t>рехабилитация на покрив на ниската част на административна сграда в пристанищен терминал Русе – изток 1</w:t>
      </w:r>
      <w:r w:rsidR="0031118E" w:rsidRPr="005E77C9">
        <w:t>,</w:t>
      </w:r>
      <w:r w:rsidRPr="005E77C9">
        <w:t xml:space="preserve"> </w:t>
      </w:r>
      <w:r w:rsidR="0031118E" w:rsidRPr="005E77C9">
        <w:t xml:space="preserve">в началото на 2019 г. дружеството довърши този обект </w:t>
      </w:r>
      <w:r w:rsidR="00E92C33" w:rsidRPr="005E77C9">
        <w:t>от 201</w:t>
      </w:r>
      <w:r w:rsidRPr="005E77C9">
        <w:t>8</w:t>
      </w:r>
      <w:r w:rsidR="00E92C33" w:rsidRPr="005E77C9">
        <w:t xml:space="preserve"> г., като част от </w:t>
      </w:r>
      <w:r w:rsidR="00402739" w:rsidRPr="005E77C9">
        <w:t xml:space="preserve">стойността му в размер на </w:t>
      </w:r>
      <w:r w:rsidR="00E92C33" w:rsidRPr="005E77C9">
        <w:t xml:space="preserve"> </w:t>
      </w:r>
      <w:r w:rsidR="00402739" w:rsidRPr="005E77C9">
        <w:rPr>
          <w:b/>
          <w:bCs/>
        </w:rPr>
        <w:t>42</w:t>
      </w:r>
      <w:r w:rsidRPr="005E77C9">
        <w:rPr>
          <w:b/>
          <w:bCs/>
        </w:rPr>
        <w:t xml:space="preserve"> </w:t>
      </w:r>
      <w:r w:rsidR="00E92C33" w:rsidRPr="005E77C9">
        <w:rPr>
          <w:b/>
          <w:bCs/>
        </w:rPr>
        <w:t>хил</w:t>
      </w:r>
      <w:r w:rsidRPr="005E77C9">
        <w:rPr>
          <w:b/>
          <w:bCs/>
        </w:rPr>
        <w:t>.</w:t>
      </w:r>
      <w:r w:rsidR="00FB5EF1" w:rsidRPr="005E77C9">
        <w:rPr>
          <w:b/>
          <w:bCs/>
        </w:rPr>
        <w:t xml:space="preserve"> </w:t>
      </w:r>
      <w:r w:rsidR="00E92C33" w:rsidRPr="005E77C9">
        <w:rPr>
          <w:b/>
          <w:bCs/>
        </w:rPr>
        <w:t>лв.</w:t>
      </w:r>
      <w:r w:rsidR="00E92C33" w:rsidRPr="005E77C9">
        <w:t xml:space="preserve"> са в изпълнение на задълженията за 201</w:t>
      </w:r>
      <w:r w:rsidR="00402739" w:rsidRPr="005E77C9">
        <w:t>9</w:t>
      </w:r>
      <w:r w:rsidR="00E92C33" w:rsidRPr="005E77C9">
        <w:t xml:space="preserve"> г. </w:t>
      </w:r>
    </w:p>
    <w:p w:rsidR="002F2463" w:rsidRPr="005E77C9" w:rsidRDefault="001A6E59" w:rsidP="002F2463">
      <w:pPr>
        <w:numPr>
          <w:ilvl w:val="0"/>
          <w:numId w:val="23"/>
        </w:numPr>
        <w:spacing w:after="120"/>
        <w:ind w:left="0" w:firstLine="993"/>
        <w:jc w:val="both"/>
      </w:pPr>
      <w:r w:rsidRPr="005E77C9">
        <w:t xml:space="preserve">Ремонт на плосък покрив и помещения в административна сграда - Център – Русе извън района – </w:t>
      </w:r>
      <w:r w:rsidR="0031118E" w:rsidRPr="005E77C9">
        <w:rPr>
          <w:b/>
          <w:bCs/>
        </w:rPr>
        <w:t>10</w:t>
      </w:r>
      <w:r w:rsidRPr="005E77C9">
        <w:rPr>
          <w:b/>
          <w:bCs/>
        </w:rPr>
        <w:t xml:space="preserve"> хил.</w:t>
      </w:r>
      <w:r w:rsidR="00FB5EF1" w:rsidRPr="005E77C9">
        <w:rPr>
          <w:b/>
          <w:bCs/>
        </w:rPr>
        <w:t xml:space="preserve"> </w:t>
      </w:r>
      <w:r w:rsidRPr="005E77C9">
        <w:rPr>
          <w:b/>
          <w:bCs/>
        </w:rPr>
        <w:t>лв.</w:t>
      </w:r>
      <w:r w:rsidRPr="005E77C9">
        <w:t>;</w:t>
      </w:r>
    </w:p>
    <w:p w:rsidR="00F6178D" w:rsidRPr="005E77C9" w:rsidRDefault="00F6178D" w:rsidP="00F6178D">
      <w:pPr>
        <w:pStyle w:val="ListParagraph"/>
        <w:numPr>
          <w:ilvl w:val="0"/>
          <w:numId w:val="23"/>
        </w:numPr>
      </w:pPr>
      <w:r w:rsidRPr="005E77C9">
        <w:lastRenderedPageBreak/>
        <w:t>Подмяна на междинен кабел СрН 20кV на пристанищни терминали Русе – изток 1 и Русе – изток 2 -</w:t>
      </w:r>
      <w:r w:rsidR="00FB5EF1" w:rsidRPr="005E77C9">
        <w:t xml:space="preserve"> </w:t>
      </w:r>
      <w:r w:rsidRPr="005E77C9">
        <w:rPr>
          <w:b/>
          <w:bCs/>
        </w:rPr>
        <w:t>50 хил.</w:t>
      </w:r>
      <w:r w:rsidR="00FB5EF1" w:rsidRPr="005E77C9">
        <w:rPr>
          <w:b/>
          <w:bCs/>
        </w:rPr>
        <w:t xml:space="preserve"> </w:t>
      </w:r>
      <w:r w:rsidRPr="005E77C9">
        <w:rPr>
          <w:b/>
          <w:bCs/>
        </w:rPr>
        <w:t>лв.</w:t>
      </w:r>
      <w:r w:rsidRPr="005E77C9">
        <w:t>;</w:t>
      </w:r>
    </w:p>
    <w:p w:rsidR="00F6178D" w:rsidRPr="005E77C9" w:rsidRDefault="00F6178D" w:rsidP="002F2463">
      <w:pPr>
        <w:numPr>
          <w:ilvl w:val="0"/>
          <w:numId w:val="23"/>
        </w:numPr>
        <w:spacing w:after="120"/>
        <w:ind w:left="0" w:firstLine="993"/>
        <w:jc w:val="both"/>
      </w:pPr>
      <w:r w:rsidRPr="005E77C9">
        <w:t xml:space="preserve">Аварирал междинен кабел на страна средно напрежение на пристанищен терминал Русе – изток 1 – </w:t>
      </w:r>
      <w:r w:rsidRPr="005E77C9">
        <w:rPr>
          <w:b/>
          <w:bCs/>
        </w:rPr>
        <w:t>6 хил.</w:t>
      </w:r>
      <w:r w:rsidR="00FB5EF1" w:rsidRPr="005E77C9">
        <w:rPr>
          <w:b/>
          <w:bCs/>
        </w:rPr>
        <w:t xml:space="preserve"> </w:t>
      </w:r>
      <w:r w:rsidRPr="005E77C9">
        <w:rPr>
          <w:b/>
          <w:bCs/>
        </w:rPr>
        <w:t>лв.;</w:t>
      </w:r>
    </w:p>
    <w:p w:rsidR="00210AD3" w:rsidRPr="005E77C9" w:rsidRDefault="00210AD3" w:rsidP="00210AD3">
      <w:pPr>
        <w:numPr>
          <w:ilvl w:val="0"/>
          <w:numId w:val="18"/>
        </w:numPr>
        <w:spacing w:after="120"/>
        <w:jc w:val="both"/>
      </w:pPr>
      <w:r w:rsidRPr="005E77C9">
        <w:t xml:space="preserve">Рехабилитация на </w:t>
      </w:r>
      <w:r w:rsidR="00F6178D" w:rsidRPr="005E77C9">
        <w:t xml:space="preserve">настилки по </w:t>
      </w:r>
      <w:r w:rsidRPr="005E77C9">
        <w:t xml:space="preserve">открити складови площи </w:t>
      </w:r>
      <w:r w:rsidR="00F6178D" w:rsidRPr="005E77C9">
        <w:t xml:space="preserve">в обособена зон Русе – изток и </w:t>
      </w:r>
      <w:r w:rsidRPr="005E77C9">
        <w:t>терминал</w:t>
      </w:r>
      <w:r w:rsidR="00F6178D" w:rsidRPr="005E77C9">
        <w:t>и</w:t>
      </w:r>
      <w:r w:rsidRPr="005E77C9">
        <w:t xml:space="preserve"> Русе – изток </w:t>
      </w:r>
      <w:r w:rsidR="00F6178D" w:rsidRPr="005E77C9">
        <w:t xml:space="preserve">1 и Русе – изток 2 </w:t>
      </w:r>
      <w:r w:rsidRPr="005E77C9">
        <w:t xml:space="preserve">– </w:t>
      </w:r>
      <w:r w:rsidRPr="005E77C9">
        <w:rPr>
          <w:b/>
          <w:bCs/>
        </w:rPr>
        <w:t>50 хил.</w:t>
      </w:r>
      <w:r w:rsidR="00FB5EF1" w:rsidRPr="005E77C9">
        <w:rPr>
          <w:b/>
          <w:bCs/>
        </w:rPr>
        <w:t xml:space="preserve"> </w:t>
      </w:r>
      <w:r w:rsidRPr="005E77C9">
        <w:rPr>
          <w:b/>
          <w:bCs/>
        </w:rPr>
        <w:t>лв</w:t>
      </w:r>
      <w:r w:rsidRPr="005E77C9">
        <w:t>.;</w:t>
      </w:r>
    </w:p>
    <w:p w:rsidR="00432B71" w:rsidRDefault="0031118E" w:rsidP="00E92C33">
      <w:pPr>
        <w:spacing w:after="120"/>
        <w:ind w:firstLine="708"/>
        <w:jc w:val="both"/>
      </w:pPr>
      <w:r w:rsidRPr="005E77C9">
        <w:t xml:space="preserve">Извършените дейности са на обща стойност </w:t>
      </w:r>
      <w:r w:rsidRPr="005E77C9">
        <w:rPr>
          <w:b/>
          <w:bCs/>
        </w:rPr>
        <w:t>158 хил. лв.</w:t>
      </w:r>
      <w:r w:rsidRPr="005E77C9">
        <w:t xml:space="preserve"> Реализираното превишение от </w:t>
      </w:r>
      <w:r w:rsidRPr="005E77C9">
        <w:rPr>
          <w:b/>
          <w:bCs/>
        </w:rPr>
        <w:t>49 хил. лв.</w:t>
      </w:r>
      <w:r w:rsidRPr="005E77C9">
        <w:t xml:space="preserve"> е прехвърлено като аванс за изпълнение на инвестиционната програма за 2020 г.</w:t>
      </w:r>
    </w:p>
    <w:p w:rsidR="007A3160" w:rsidRPr="005E77C9" w:rsidRDefault="007A3160" w:rsidP="00E92C33">
      <w:pPr>
        <w:spacing w:after="120"/>
        <w:ind w:firstLine="708"/>
        <w:jc w:val="both"/>
      </w:pPr>
    </w:p>
    <w:p w:rsidR="006A52D1" w:rsidRPr="007A3160" w:rsidRDefault="006A52D1" w:rsidP="007A3160">
      <w:pPr>
        <w:pStyle w:val="Heading2"/>
        <w:numPr>
          <w:ilvl w:val="1"/>
          <w:numId w:val="2"/>
        </w:numPr>
        <w:tabs>
          <w:tab w:val="num" w:pos="540"/>
        </w:tabs>
        <w:spacing w:after="240"/>
        <w:rPr>
          <w:rFonts w:ascii="Times New Roman" w:hAnsi="Times New Roman"/>
          <w:i/>
          <w:iCs/>
          <w:smallCaps/>
          <w:sz w:val="24"/>
          <w:u w:val="single"/>
        </w:rPr>
      </w:pPr>
      <w:bookmarkStart w:id="30" w:name="_Toc40777296"/>
      <w:r w:rsidRPr="007A3160">
        <w:rPr>
          <w:rFonts w:ascii="Times New Roman" w:hAnsi="Times New Roman"/>
          <w:i/>
          <w:iCs/>
          <w:smallCaps/>
          <w:sz w:val="24"/>
          <w:u w:val="single"/>
        </w:rPr>
        <w:t>5) Основни проблеми и рискове през 201</w:t>
      </w:r>
      <w:r w:rsidR="00025141" w:rsidRPr="007A3160">
        <w:rPr>
          <w:rFonts w:ascii="Times New Roman" w:hAnsi="Times New Roman"/>
          <w:i/>
          <w:iCs/>
          <w:smallCaps/>
          <w:sz w:val="24"/>
          <w:u w:val="single"/>
        </w:rPr>
        <w:t>9</w:t>
      </w:r>
      <w:r w:rsidRPr="007A3160">
        <w:rPr>
          <w:rFonts w:ascii="Times New Roman" w:hAnsi="Times New Roman"/>
          <w:i/>
          <w:iCs/>
          <w:smallCaps/>
          <w:sz w:val="24"/>
          <w:u w:val="single"/>
        </w:rPr>
        <w:t xml:space="preserve"> г.</w:t>
      </w:r>
      <w:bookmarkEnd w:id="30"/>
    </w:p>
    <w:p w:rsidR="00D35F52" w:rsidRPr="003D5468" w:rsidRDefault="00D35F52" w:rsidP="007A3160">
      <w:pPr>
        <w:ind w:firstLine="709"/>
        <w:rPr>
          <w:lang w:eastAsia="bg-BG"/>
        </w:rPr>
      </w:pPr>
      <w:bookmarkStart w:id="31" w:name="_Toc351636026"/>
      <w:bookmarkStart w:id="32" w:name="_Toc351719434"/>
      <w:bookmarkStart w:id="33" w:name="_Toc351721980"/>
      <w:bookmarkStart w:id="34" w:name="_Toc382904554"/>
      <w:bookmarkStart w:id="35" w:name="_Toc382904673"/>
      <w:bookmarkStart w:id="36" w:name="_Toc477959770"/>
      <w:r w:rsidRPr="007A3160">
        <w:rPr>
          <w:lang w:eastAsia="bg-BG"/>
        </w:rPr>
        <w:t>През изминалата 201</w:t>
      </w:r>
      <w:r w:rsidR="00025141" w:rsidRPr="007A3160">
        <w:rPr>
          <w:lang w:eastAsia="bg-BG"/>
        </w:rPr>
        <w:t>9</w:t>
      </w:r>
      <w:r w:rsidRPr="007A3160">
        <w:rPr>
          <w:lang w:eastAsia="bg-BG"/>
        </w:rPr>
        <w:t xml:space="preserve"> г. „Пристанищен комплекс–Русе“ ЕАД бе изправен пред решаването на проблеми от различно естество</w:t>
      </w:r>
      <w:r w:rsidRPr="003D5468">
        <w:rPr>
          <w:lang w:eastAsia="bg-BG"/>
        </w:rPr>
        <w:t>:</w:t>
      </w:r>
      <w:bookmarkEnd w:id="31"/>
      <w:bookmarkEnd w:id="32"/>
      <w:bookmarkEnd w:id="33"/>
      <w:bookmarkEnd w:id="34"/>
      <w:bookmarkEnd w:id="35"/>
      <w:bookmarkEnd w:id="36"/>
    </w:p>
    <w:p w:rsidR="00D35F52" w:rsidRPr="003D5468" w:rsidRDefault="00D35F52" w:rsidP="00D35F52">
      <w:pPr>
        <w:numPr>
          <w:ilvl w:val="0"/>
          <w:numId w:val="4"/>
        </w:numPr>
        <w:tabs>
          <w:tab w:val="left" w:pos="993"/>
        </w:tabs>
        <w:spacing w:after="120"/>
        <w:ind w:left="0" w:firstLine="709"/>
        <w:jc w:val="both"/>
        <w:rPr>
          <w:rFonts w:eastAsia="Times New Roman"/>
          <w:lang w:eastAsia="bg-BG"/>
        </w:rPr>
      </w:pPr>
      <w:r w:rsidRPr="003D5468">
        <w:rPr>
          <w:rFonts w:eastAsia="Times New Roman"/>
          <w:b/>
          <w:lang w:eastAsia="bg-BG"/>
        </w:rPr>
        <w:t>Работа в пазарна ниша, която за поредна година не отчете изразителен растеж.</w:t>
      </w:r>
      <w:r w:rsidRPr="003D5468">
        <w:rPr>
          <w:rFonts w:eastAsia="Times New Roman"/>
          <w:lang w:eastAsia="bg-BG"/>
        </w:rPr>
        <w:t xml:space="preserve"> През годината единственият регулярно работещ товарен терминал в рамките на комплекса отново бе Русе-изток. Въпреки големия си капацитет, той не може да бъде експлоатиран с пълната си натовареност поради занижените в последните години доставки на товари за обработка и складиране. Може да се каже, че съобразно икономическата обстановка, към момента той работи с оптимална натовареност. Развиването на дейност в една ниша, която не демонстрира осезаем растеж, предполага насочване на конкурентния натиск към преразпределяне на пазарни дялове. Дружеството развива дейност в силната конкуренция на един терминал с национално и два порта с регионално значение на територията на Русе. По-малкия капацитет на останалите, съчетан с редуцираните по обем доставки на товари ги поставя в едно по-благоприятно пазарно положение, поради по-ниския обем експлоатационни разходи спрямо големия терминал Русе-изток.</w:t>
      </w:r>
    </w:p>
    <w:p w:rsidR="00D35F52" w:rsidRPr="003D5468" w:rsidRDefault="00D35F52" w:rsidP="00D35F52">
      <w:pPr>
        <w:numPr>
          <w:ilvl w:val="0"/>
          <w:numId w:val="4"/>
        </w:numPr>
        <w:tabs>
          <w:tab w:val="left" w:pos="993"/>
        </w:tabs>
        <w:spacing w:after="120"/>
        <w:ind w:left="0" w:firstLine="709"/>
        <w:jc w:val="both"/>
        <w:rPr>
          <w:rFonts w:eastAsia="Times New Roman"/>
          <w:b/>
          <w:lang w:eastAsia="bg-BG"/>
        </w:rPr>
      </w:pPr>
      <w:r w:rsidRPr="003D5468">
        <w:rPr>
          <w:rFonts w:eastAsia="Times New Roman"/>
          <w:b/>
          <w:lang w:eastAsia="bg-BG"/>
        </w:rPr>
        <w:t>Дейността на дружеството е неизменно съпътствана от потенциалния проблем с неблагоприятните хидрометеорологични условия по Дунав.</w:t>
      </w:r>
      <w:r w:rsidRPr="003D5468">
        <w:rPr>
          <w:rFonts w:eastAsia="Times New Roman"/>
          <w:lang w:eastAsia="bg-BG"/>
        </w:rPr>
        <w:t xml:space="preserve"> </w:t>
      </w:r>
      <w:r w:rsidR="00641867">
        <w:rPr>
          <w:rFonts w:eastAsia="Times New Roman"/>
          <w:lang w:eastAsia="bg-BG"/>
        </w:rPr>
        <w:t>М</w:t>
      </w:r>
      <w:r w:rsidRPr="003D5468">
        <w:rPr>
          <w:rFonts w:eastAsia="Times New Roman"/>
          <w:lang w:eastAsia="bg-BG"/>
        </w:rPr>
        <w:t>аловодие и образуване на речни прагове съпътстват корабоплаването по реката и са предпоставка за нарушаване ритмичността на доставките на товари в основния товарен порт</w:t>
      </w:r>
      <w:r w:rsidRPr="003D5468">
        <w:rPr>
          <w:rFonts w:eastAsia="Times New Roman"/>
          <w:lang w:val="en-US" w:eastAsia="bg-BG"/>
        </w:rPr>
        <w:t xml:space="preserve"> </w:t>
      </w:r>
      <w:r w:rsidRPr="003D5468">
        <w:rPr>
          <w:rFonts w:eastAsia="Times New Roman"/>
          <w:lang w:eastAsia="bg-BG"/>
        </w:rPr>
        <w:t>в дружеството – Русе-изток.</w:t>
      </w:r>
    </w:p>
    <w:p w:rsidR="00D35F52" w:rsidRPr="00FD586A" w:rsidRDefault="00D35F52" w:rsidP="00D35F52">
      <w:pPr>
        <w:numPr>
          <w:ilvl w:val="0"/>
          <w:numId w:val="4"/>
        </w:numPr>
        <w:tabs>
          <w:tab w:val="left" w:pos="993"/>
        </w:tabs>
        <w:spacing w:after="120"/>
        <w:ind w:left="0" w:firstLine="709"/>
        <w:jc w:val="both"/>
        <w:rPr>
          <w:rFonts w:eastAsia="Times New Roman"/>
          <w:b/>
          <w:lang w:eastAsia="bg-BG"/>
        </w:rPr>
      </w:pPr>
      <w:r w:rsidRPr="003D5468">
        <w:rPr>
          <w:rFonts w:eastAsia="Times New Roman"/>
          <w:b/>
          <w:lang w:eastAsia="bg-BG"/>
        </w:rPr>
        <w:t xml:space="preserve">„Пристанищен комплекс–Русе“ ЕАД през последните години традиционно използва в дейността си остаряла инфраструктура и техника. </w:t>
      </w:r>
      <w:r w:rsidRPr="003D5468">
        <w:rPr>
          <w:rFonts w:eastAsia="Times New Roman"/>
          <w:lang w:eastAsia="bg-BG"/>
        </w:rPr>
        <w:t xml:space="preserve">Редовното изпълнение на годишната инвестиционна програма на дружеството към ДП „Пристанищна инфраструктура“ на практика покрива извършването на най-належащите дейности по ремонт и рехабилитация на инфраструктурните обекти. </w:t>
      </w:r>
    </w:p>
    <w:p w:rsidR="00FD586A" w:rsidRDefault="00FD586A" w:rsidP="00715C61">
      <w:pPr>
        <w:tabs>
          <w:tab w:val="left" w:pos="993"/>
        </w:tabs>
        <w:spacing w:after="120"/>
        <w:ind w:left="709"/>
        <w:jc w:val="both"/>
        <w:rPr>
          <w:rFonts w:eastAsia="Times New Roman"/>
          <w:b/>
          <w:lang w:eastAsia="bg-BG"/>
        </w:rPr>
      </w:pPr>
    </w:p>
    <w:p w:rsidR="00715C61" w:rsidRDefault="00715C61" w:rsidP="00715C61">
      <w:pPr>
        <w:tabs>
          <w:tab w:val="left" w:pos="993"/>
        </w:tabs>
        <w:spacing w:after="120"/>
        <w:ind w:left="709"/>
        <w:jc w:val="both"/>
        <w:rPr>
          <w:rFonts w:eastAsia="Times New Roman"/>
          <w:b/>
          <w:lang w:eastAsia="bg-BG"/>
        </w:rPr>
      </w:pPr>
    </w:p>
    <w:p w:rsidR="00C4776F" w:rsidRDefault="00C4776F" w:rsidP="00715C61">
      <w:pPr>
        <w:tabs>
          <w:tab w:val="left" w:pos="993"/>
        </w:tabs>
        <w:spacing w:after="120"/>
        <w:ind w:left="709"/>
        <w:jc w:val="both"/>
        <w:rPr>
          <w:rFonts w:eastAsia="Times New Roman"/>
          <w:b/>
          <w:lang w:eastAsia="bg-BG"/>
        </w:rPr>
      </w:pPr>
    </w:p>
    <w:p w:rsidR="00C4776F" w:rsidRDefault="00C4776F" w:rsidP="00715C61">
      <w:pPr>
        <w:tabs>
          <w:tab w:val="left" w:pos="993"/>
        </w:tabs>
        <w:spacing w:after="120"/>
        <w:ind w:left="709"/>
        <w:jc w:val="both"/>
        <w:rPr>
          <w:rFonts w:eastAsia="Times New Roman"/>
          <w:b/>
          <w:lang w:eastAsia="bg-BG"/>
        </w:rPr>
      </w:pPr>
    </w:p>
    <w:p w:rsidR="00C4776F" w:rsidRDefault="00C4776F" w:rsidP="00715C61">
      <w:pPr>
        <w:tabs>
          <w:tab w:val="left" w:pos="993"/>
        </w:tabs>
        <w:spacing w:after="120"/>
        <w:ind w:left="709"/>
        <w:jc w:val="both"/>
        <w:rPr>
          <w:rFonts w:eastAsia="Times New Roman"/>
          <w:b/>
          <w:lang w:eastAsia="bg-BG"/>
        </w:rPr>
      </w:pPr>
    </w:p>
    <w:p w:rsidR="00C4776F" w:rsidRDefault="00C4776F" w:rsidP="00715C61">
      <w:pPr>
        <w:tabs>
          <w:tab w:val="left" w:pos="993"/>
        </w:tabs>
        <w:spacing w:after="120"/>
        <w:ind w:left="709"/>
        <w:jc w:val="both"/>
        <w:rPr>
          <w:rFonts w:eastAsia="Times New Roman"/>
          <w:b/>
          <w:lang w:eastAsia="bg-BG"/>
        </w:rPr>
      </w:pPr>
    </w:p>
    <w:p w:rsidR="00C4776F" w:rsidRDefault="00C4776F" w:rsidP="00715C61">
      <w:pPr>
        <w:tabs>
          <w:tab w:val="left" w:pos="993"/>
        </w:tabs>
        <w:spacing w:after="120"/>
        <w:ind w:left="709"/>
        <w:jc w:val="both"/>
        <w:rPr>
          <w:rFonts w:eastAsia="Times New Roman"/>
          <w:b/>
          <w:lang w:eastAsia="bg-BG"/>
        </w:rPr>
      </w:pPr>
    </w:p>
    <w:p w:rsidR="00C4776F" w:rsidRDefault="00C4776F" w:rsidP="00715C61">
      <w:pPr>
        <w:tabs>
          <w:tab w:val="left" w:pos="993"/>
        </w:tabs>
        <w:spacing w:after="120"/>
        <w:ind w:left="709"/>
        <w:jc w:val="both"/>
        <w:rPr>
          <w:rFonts w:eastAsia="Times New Roman"/>
          <w:b/>
          <w:lang w:eastAsia="bg-BG"/>
        </w:rPr>
      </w:pPr>
    </w:p>
    <w:p w:rsidR="00C4776F" w:rsidRDefault="00C4776F" w:rsidP="00715C61">
      <w:pPr>
        <w:tabs>
          <w:tab w:val="left" w:pos="993"/>
        </w:tabs>
        <w:spacing w:after="120"/>
        <w:ind w:left="709"/>
        <w:jc w:val="both"/>
        <w:rPr>
          <w:rFonts w:eastAsia="Times New Roman"/>
          <w:b/>
          <w:lang w:eastAsia="bg-BG"/>
        </w:rPr>
      </w:pPr>
    </w:p>
    <w:p w:rsidR="00B9618A" w:rsidRPr="003D5468" w:rsidRDefault="00B9618A" w:rsidP="00DD76F5">
      <w:pPr>
        <w:pStyle w:val="Heading1"/>
        <w:numPr>
          <w:ilvl w:val="0"/>
          <w:numId w:val="2"/>
        </w:numPr>
        <w:spacing w:after="120"/>
        <w:ind w:left="714" w:hanging="357"/>
        <w:jc w:val="center"/>
        <w:rPr>
          <w:rFonts w:ascii="Times New Roman" w:hAnsi="Times New Roman"/>
          <w:sz w:val="24"/>
        </w:rPr>
      </w:pPr>
      <w:bookmarkStart w:id="37" w:name="_Toc288478113"/>
      <w:bookmarkStart w:id="38" w:name="_Toc40777297"/>
      <w:r w:rsidRPr="003D5468">
        <w:rPr>
          <w:rFonts w:ascii="Times New Roman" w:hAnsi="Times New Roman"/>
          <w:sz w:val="24"/>
        </w:rPr>
        <w:lastRenderedPageBreak/>
        <w:t>ФИНАНСОВ АНАЛИЗ</w:t>
      </w:r>
      <w:bookmarkEnd w:id="37"/>
      <w:bookmarkEnd w:id="38"/>
    </w:p>
    <w:p w:rsidR="00A97CF7" w:rsidRPr="005E77C9" w:rsidRDefault="0073770F" w:rsidP="0073770F">
      <w:pPr>
        <w:pStyle w:val="Heading2"/>
        <w:numPr>
          <w:ilvl w:val="1"/>
          <w:numId w:val="2"/>
        </w:numPr>
        <w:tabs>
          <w:tab w:val="num" w:pos="540"/>
        </w:tabs>
        <w:spacing w:after="240"/>
        <w:rPr>
          <w:rFonts w:ascii="Times New Roman" w:hAnsi="Times New Roman"/>
          <w:i/>
          <w:smallCaps/>
          <w:sz w:val="24"/>
          <w:u w:val="single"/>
        </w:rPr>
      </w:pPr>
      <w:bookmarkStart w:id="39" w:name="_Toc288478114"/>
      <w:bookmarkStart w:id="40" w:name="_Toc40777298"/>
      <w:r w:rsidRPr="005E77C9">
        <w:rPr>
          <w:rFonts w:ascii="Times New Roman" w:hAnsi="Times New Roman"/>
          <w:smallCaps/>
          <w:sz w:val="24"/>
        </w:rPr>
        <w:t>1)</w:t>
      </w:r>
      <w:r w:rsidRPr="005E77C9">
        <w:rPr>
          <w:rFonts w:ascii="Times New Roman" w:hAnsi="Times New Roman"/>
          <w:b w:val="0"/>
          <w:smallCaps/>
          <w:sz w:val="24"/>
        </w:rPr>
        <w:t xml:space="preserve"> </w:t>
      </w:r>
      <w:r w:rsidR="00474D2B" w:rsidRPr="005E77C9">
        <w:rPr>
          <w:rFonts w:ascii="Times New Roman" w:hAnsi="Times New Roman"/>
          <w:i/>
          <w:smallCaps/>
          <w:sz w:val="24"/>
          <w:u w:val="single"/>
        </w:rPr>
        <w:t>Финансови резултати от дейността</w:t>
      </w:r>
      <w:bookmarkEnd w:id="39"/>
      <w:bookmarkEnd w:id="40"/>
    </w:p>
    <w:p w:rsidR="009F323F" w:rsidRPr="005E77C9" w:rsidRDefault="00B7309E" w:rsidP="00E2549B">
      <w:pPr>
        <w:spacing w:after="120"/>
        <w:ind w:firstLine="709"/>
        <w:jc w:val="both"/>
      </w:pPr>
      <w:bookmarkStart w:id="41" w:name="_Hlk506992597"/>
      <w:r w:rsidRPr="005E77C9">
        <w:rPr>
          <w:b/>
        </w:rPr>
        <w:t>„</w:t>
      </w:r>
      <w:r w:rsidR="00B25D8E" w:rsidRPr="005E77C9">
        <w:rPr>
          <w:b/>
        </w:rPr>
        <w:t>Пристанищен комплекс – Русе</w:t>
      </w:r>
      <w:r w:rsidRPr="005E77C9">
        <w:rPr>
          <w:b/>
        </w:rPr>
        <w:t>“</w:t>
      </w:r>
      <w:r w:rsidR="00B25D8E" w:rsidRPr="005E77C9">
        <w:rPr>
          <w:b/>
        </w:rPr>
        <w:t xml:space="preserve"> ЕАД приключва 20</w:t>
      </w:r>
      <w:r w:rsidR="00F840A3" w:rsidRPr="005E77C9">
        <w:rPr>
          <w:b/>
          <w:lang w:val="ru-RU"/>
        </w:rPr>
        <w:t>1</w:t>
      </w:r>
      <w:r w:rsidR="00135F12" w:rsidRPr="005E77C9">
        <w:rPr>
          <w:b/>
          <w:lang w:val="en-US"/>
        </w:rPr>
        <w:t>9</w:t>
      </w:r>
      <w:r w:rsidR="00B25D8E" w:rsidRPr="005E77C9">
        <w:rPr>
          <w:b/>
        </w:rPr>
        <w:t xml:space="preserve"> г. с</w:t>
      </w:r>
      <w:r w:rsidR="00B25D8E" w:rsidRPr="005E77C9">
        <w:t xml:space="preserve"> </w:t>
      </w:r>
      <w:r w:rsidR="00135F12" w:rsidRPr="005E77C9">
        <w:rPr>
          <w:b/>
          <w:lang w:val="en-US"/>
        </w:rPr>
        <w:t>562</w:t>
      </w:r>
      <w:r w:rsidR="00B25D8E" w:rsidRPr="005E77C9">
        <w:rPr>
          <w:b/>
        </w:rPr>
        <w:t xml:space="preserve"> хил. лв. счетоводна печалба</w:t>
      </w:r>
      <w:r w:rsidR="000B6A2B" w:rsidRPr="005E77C9">
        <w:t xml:space="preserve">, при </w:t>
      </w:r>
      <w:r w:rsidR="00B247A0" w:rsidRPr="005E77C9">
        <w:t>6</w:t>
      </w:r>
      <w:r w:rsidR="00135F12" w:rsidRPr="005E77C9">
        <w:rPr>
          <w:lang w:val="en-US"/>
        </w:rPr>
        <w:t>18</w:t>
      </w:r>
      <w:r w:rsidR="000B6A2B" w:rsidRPr="005E77C9">
        <w:t xml:space="preserve"> хил.</w:t>
      </w:r>
      <w:r w:rsidR="00BB77A4" w:rsidRPr="005E77C9">
        <w:t xml:space="preserve"> </w:t>
      </w:r>
      <w:r w:rsidR="000B6A2B" w:rsidRPr="005E77C9">
        <w:t>лв. за 201</w:t>
      </w:r>
      <w:r w:rsidR="00135F12" w:rsidRPr="005E77C9">
        <w:rPr>
          <w:lang w:val="en-US"/>
        </w:rPr>
        <w:t>8</w:t>
      </w:r>
      <w:r w:rsidR="000B6A2B" w:rsidRPr="005E77C9">
        <w:t>г. /</w:t>
      </w:r>
      <w:r w:rsidR="00E93408" w:rsidRPr="005E77C9">
        <w:rPr>
          <w:lang w:val="en-US"/>
        </w:rPr>
        <w:t>-9</w:t>
      </w:r>
      <w:r w:rsidR="000B6A2B" w:rsidRPr="005E77C9">
        <w:t>%/.</w:t>
      </w:r>
    </w:p>
    <w:p w:rsidR="00FB42B8" w:rsidRPr="005E77C9" w:rsidRDefault="009F323F" w:rsidP="001D1196">
      <w:pPr>
        <w:pStyle w:val="BodyTextIndent"/>
        <w:spacing w:after="240"/>
        <w:ind w:firstLine="709"/>
      </w:pPr>
      <w:bookmarkStart w:id="42" w:name="_Hlk506993160"/>
      <w:bookmarkEnd w:id="41"/>
      <w:r w:rsidRPr="005E77C9">
        <w:t>През 201</w:t>
      </w:r>
      <w:r w:rsidR="00135F12" w:rsidRPr="005E77C9">
        <w:rPr>
          <w:lang w:val="en-US"/>
        </w:rPr>
        <w:t>9</w:t>
      </w:r>
      <w:r w:rsidRPr="005E77C9">
        <w:t xml:space="preserve"> г. бяха реализирани </w:t>
      </w:r>
      <w:r w:rsidR="002C2E66" w:rsidRPr="005E77C9">
        <w:rPr>
          <w:i/>
          <w:u w:val="single"/>
        </w:rPr>
        <w:t xml:space="preserve">5 </w:t>
      </w:r>
      <w:r w:rsidR="00B247A0" w:rsidRPr="005E77C9">
        <w:rPr>
          <w:i/>
          <w:u w:val="single"/>
        </w:rPr>
        <w:t>2</w:t>
      </w:r>
      <w:r w:rsidR="00E93408" w:rsidRPr="005E77C9">
        <w:rPr>
          <w:i/>
          <w:u w:val="single"/>
          <w:lang w:val="en-US"/>
        </w:rPr>
        <w:t>36</w:t>
      </w:r>
      <w:r w:rsidR="00E9169E" w:rsidRPr="005E77C9">
        <w:rPr>
          <w:i/>
          <w:u w:val="single"/>
        </w:rPr>
        <w:t xml:space="preserve"> </w:t>
      </w:r>
      <w:r w:rsidRPr="005E77C9">
        <w:rPr>
          <w:i/>
          <w:u w:val="single"/>
        </w:rPr>
        <w:t>хил.</w:t>
      </w:r>
      <w:r w:rsidR="00BB77A4" w:rsidRPr="005E77C9">
        <w:rPr>
          <w:i/>
          <w:u w:val="single"/>
        </w:rPr>
        <w:t xml:space="preserve"> </w:t>
      </w:r>
      <w:r w:rsidRPr="005E77C9">
        <w:rPr>
          <w:i/>
          <w:u w:val="single"/>
        </w:rPr>
        <w:t>лв. нетни приходи от продажби</w:t>
      </w:r>
      <w:r w:rsidR="00FB42B8" w:rsidRPr="005E77C9">
        <w:rPr>
          <w:b/>
        </w:rPr>
        <w:t xml:space="preserve">, </w:t>
      </w:r>
      <w:r w:rsidR="00FB42B8" w:rsidRPr="005E77C9">
        <w:t>като това е</w:t>
      </w:r>
      <w:r w:rsidR="00844C3C" w:rsidRPr="005E77C9">
        <w:t xml:space="preserve"> </w:t>
      </w:r>
      <w:r w:rsidR="00B247A0" w:rsidRPr="005E77C9">
        <w:t xml:space="preserve">лек </w:t>
      </w:r>
      <w:r w:rsidR="005154E7" w:rsidRPr="005E77C9">
        <w:t>спад от</w:t>
      </w:r>
      <w:r w:rsidR="00844C3C" w:rsidRPr="005E77C9">
        <w:t xml:space="preserve"> </w:t>
      </w:r>
      <w:r w:rsidR="002C2E66" w:rsidRPr="005E77C9">
        <w:t>-</w:t>
      </w:r>
      <w:r w:rsidR="00E93408" w:rsidRPr="005E77C9">
        <w:rPr>
          <w:lang w:val="en-US"/>
        </w:rPr>
        <w:t>0.3</w:t>
      </w:r>
      <w:r w:rsidR="005154E7" w:rsidRPr="005E77C9">
        <w:t xml:space="preserve"> % </w:t>
      </w:r>
      <w:r w:rsidR="00844C3C" w:rsidRPr="005E77C9">
        <w:t xml:space="preserve">спрямо </w:t>
      </w:r>
      <w:r w:rsidR="00FB42B8" w:rsidRPr="005E77C9">
        <w:t>201</w:t>
      </w:r>
      <w:r w:rsidR="00E93408" w:rsidRPr="005E77C9">
        <w:rPr>
          <w:lang w:val="en-US"/>
        </w:rPr>
        <w:t>8</w:t>
      </w:r>
      <w:r w:rsidR="00844C3C" w:rsidRPr="005E77C9">
        <w:t xml:space="preserve"> </w:t>
      </w:r>
      <w:r w:rsidR="00FB42B8" w:rsidRPr="005E77C9">
        <w:t>г</w:t>
      </w:r>
      <w:r w:rsidR="00844C3C" w:rsidRPr="005E77C9">
        <w:t>.</w:t>
      </w:r>
      <w:r w:rsidR="005154E7" w:rsidRPr="005E77C9">
        <w:t xml:space="preserve"> </w:t>
      </w:r>
      <w:r w:rsidR="00FB42B8" w:rsidRPr="005E77C9">
        <w:t>В същото време р</w:t>
      </w:r>
      <w:r w:rsidR="00844C3C" w:rsidRPr="005E77C9">
        <w:t xml:space="preserve">азходите за икономически елементи </w:t>
      </w:r>
      <w:r w:rsidR="00634E0F" w:rsidRPr="005E77C9">
        <w:t>отбелязват</w:t>
      </w:r>
      <w:r w:rsidR="005154E7" w:rsidRPr="005E77C9">
        <w:t xml:space="preserve"> </w:t>
      </w:r>
      <w:r w:rsidR="00E93408" w:rsidRPr="005E77C9">
        <w:t>увеличение</w:t>
      </w:r>
      <w:r w:rsidR="00634E0F" w:rsidRPr="005E77C9">
        <w:t xml:space="preserve"> от </w:t>
      </w:r>
      <w:r w:rsidR="00E93408" w:rsidRPr="005E77C9">
        <w:rPr>
          <w:lang w:val="en-US"/>
        </w:rPr>
        <w:t>+9</w:t>
      </w:r>
      <w:r w:rsidR="00E93408" w:rsidRPr="005E77C9">
        <w:t xml:space="preserve"> </w:t>
      </w:r>
      <w:r w:rsidR="00634E0F" w:rsidRPr="005E77C9">
        <w:t>% спрямо предходната година</w:t>
      </w:r>
      <w:bookmarkEnd w:id="42"/>
      <w:r w:rsidR="00634E0F" w:rsidRPr="005E77C9">
        <w:t>.</w:t>
      </w:r>
    </w:p>
    <w:tbl>
      <w:tblPr>
        <w:tblW w:w="14566" w:type="dxa"/>
        <w:tblInd w:w="-110" w:type="dxa"/>
        <w:tblLayout w:type="fixed"/>
        <w:tblCellMar>
          <w:left w:w="70" w:type="dxa"/>
          <w:right w:w="70" w:type="dxa"/>
        </w:tblCellMar>
        <w:tblLook w:val="0000" w:firstRow="0" w:lastRow="0" w:firstColumn="0" w:lastColumn="0" w:noHBand="0" w:noVBand="0"/>
      </w:tblPr>
      <w:tblGrid>
        <w:gridCol w:w="4641"/>
        <w:gridCol w:w="993"/>
        <w:gridCol w:w="1134"/>
        <w:gridCol w:w="1134"/>
        <w:gridCol w:w="1134"/>
        <w:gridCol w:w="1134"/>
        <w:gridCol w:w="1366"/>
        <w:gridCol w:w="1010"/>
        <w:gridCol w:w="1010"/>
        <w:gridCol w:w="1010"/>
      </w:tblGrid>
      <w:tr w:rsidR="009A4A5A" w:rsidRPr="005E77C9" w:rsidTr="00364BFE">
        <w:trPr>
          <w:trHeight w:val="270"/>
        </w:trPr>
        <w:tc>
          <w:tcPr>
            <w:tcW w:w="4641" w:type="dxa"/>
            <w:vMerge w:val="restart"/>
            <w:tcBorders>
              <w:top w:val="single" w:sz="4" w:space="0" w:color="auto"/>
              <w:left w:val="single" w:sz="4" w:space="0" w:color="auto"/>
              <w:right w:val="single" w:sz="4" w:space="0" w:color="auto"/>
            </w:tcBorders>
            <w:shd w:val="clear" w:color="auto" w:fill="C0C0C0"/>
            <w:vAlign w:val="center"/>
          </w:tcPr>
          <w:p w:rsidR="009A4A5A" w:rsidRPr="005E77C9" w:rsidRDefault="009A4A5A" w:rsidP="00810C08">
            <w:pPr>
              <w:jc w:val="center"/>
              <w:rPr>
                <w:b/>
                <w:sz w:val="22"/>
                <w:szCs w:val="22"/>
              </w:rPr>
            </w:pPr>
            <w:bookmarkStart w:id="43" w:name="_Hlk506993841"/>
            <w:r w:rsidRPr="005E77C9">
              <w:rPr>
                <w:b/>
                <w:sz w:val="22"/>
                <w:szCs w:val="22"/>
              </w:rPr>
              <w:t>ОСНОВНИ ФИНАНСОВИ И ОПЕРАТИВНИ ПОКАЗАТЕЛИ</w:t>
            </w:r>
          </w:p>
        </w:tc>
        <w:tc>
          <w:tcPr>
            <w:tcW w:w="5529" w:type="dxa"/>
            <w:gridSpan w:val="5"/>
            <w:tcBorders>
              <w:top w:val="single" w:sz="8" w:space="0" w:color="auto"/>
              <w:left w:val="single" w:sz="4" w:space="0" w:color="auto"/>
              <w:right w:val="single" w:sz="8" w:space="0" w:color="000000"/>
            </w:tcBorders>
            <w:shd w:val="clear" w:color="auto" w:fill="C0C0C0"/>
            <w:vAlign w:val="center"/>
          </w:tcPr>
          <w:p w:rsidR="009A4A5A" w:rsidRPr="005E77C9" w:rsidRDefault="009A4A5A" w:rsidP="00E92C33">
            <w:pPr>
              <w:jc w:val="center"/>
              <w:rPr>
                <w:b/>
                <w:snapToGrid w:val="0"/>
                <w:color w:val="000000"/>
                <w:sz w:val="22"/>
                <w:szCs w:val="22"/>
                <w:lang w:eastAsia="en-US"/>
              </w:rPr>
            </w:pPr>
            <w:r w:rsidRPr="005E77C9">
              <w:rPr>
                <w:b/>
                <w:snapToGrid w:val="0"/>
                <w:color w:val="000000"/>
                <w:sz w:val="22"/>
                <w:szCs w:val="22"/>
                <w:lang w:val="ru-RU" w:eastAsia="en-US"/>
              </w:rPr>
              <w:t>20</w:t>
            </w:r>
            <w:r w:rsidRPr="005E77C9">
              <w:rPr>
                <w:b/>
                <w:snapToGrid w:val="0"/>
                <w:color w:val="000000"/>
                <w:sz w:val="22"/>
                <w:szCs w:val="22"/>
                <w:lang w:val="en-US" w:eastAsia="en-US"/>
              </w:rPr>
              <w:t>1</w:t>
            </w:r>
            <w:r w:rsidR="00033838" w:rsidRPr="005E77C9">
              <w:rPr>
                <w:b/>
                <w:snapToGrid w:val="0"/>
                <w:color w:val="000000"/>
                <w:sz w:val="22"/>
                <w:szCs w:val="22"/>
                <w:lang w:eastAsia="en-US"/>
              </w:rPr>
              <w:t>9</w:t>
            </w:r>
            <w:r w:rsidRPr="005E77C9">
              <w:rPr>
                <w:b/>
                <w:snapToGrid w:val="0"/>
                <w:color w:val="000000"/>
                <w:sz w:val="22"/>
                <w:szCs w:val="22"/>
                <w:lang w:eastAsia="en-US"/>
              </w:rPr>
              <w:t xml:space="preserve"> г.</w:t>
            </w:r>
          </w:p>
        </w:tc>
        <w:tc>
          <w:tcPr>
            <w:tcW w:w="1366" w:type="dxa"/>
          </w:tcPr>
          <w:p w:rsidR="009A4A5A" w:rsidRPr="005E77C9" w:rsidRDefault="009A4A5A" w:rsidP="00115CA1">
            <w:pPr>
              <w:jc w:val="center"/>
              <w:rPr>
                <w:snapToGrid w:val="0"/>
                <w:color w:val="000000"/>
                <w:sz w:val="22"/>
                <w:szCs w:val="22"/>
                <w:lang w:val="ru-RU" w:eastAsia="en-US"/>
              </w:rPr>
            </w:pPr>
          </w:p>
        </w:tc>
        <w:tc>
          <w:tcPr>
            <w:tcW w:w="1010" w:type="dxa"/>
          </w:tcPr>
          <w:p w:rsidR="009A4A5A" w:rsidRPr="005E77C9" w:rsidRDefault="009A4A5A" w:rsidP="00115CA1">
            <w:pPr>
              <w:jc w:val="center"/>
              <w:rPr>
                <w:snapToGrid w:val="0"/>
                <w:color w:val="000000"/>
                <w:sz w:val="22"/>
                <w:szCs w:val="22"/>
                <w:lang w:val="ru-RU" w:eastAsia="en-US"/>
              </w:rPr>
            </w:pPr>
          </w:p>
        </w:tc>
        <w:tc>
          <w:tcPr>
            <w:tcW w:w="1010" w:type="dxa"/>
          </w:tcPr>
          <w:p w:rsidR="009A4A5A" w:rsidRPr="005E77C9" w:rsidRDefault="009A4A5A" w:rsidP="00115CA1">
            <w:pPr>
              <w:jc w:val="center"/>
              <w:rPr>
                <w:snapToGrid w:val="0"/>
                <w:color w:val="000000"/>
                <w:sz w:val="22"/>
                <w:szCs w:val="22"/>
                <w:lang w:val="ru-RU" w:eastAsia="en-US"/>
              </w:rPr>
            </w:pPr>
          </w:p>
        </w:tc>
        <w:tc>
          <w:tcPr>
            <w:tcW w:w="1010" w:type="dxa"/>
          </w:tcPr>
          <w:p w:rsidR="009A4A5A" w:rsidRPr="005E77C9" w:rsidRDefault="009A4A5A" w:rsidP="00115CA1">
            <w:pPr>
              <w:jc w:val="center"/>
              <w:rPr>
                <w:snapToGrid w:val="0"/>
                <w:color w:val="000000"/>
                <w:sz w:val="22"/>
                <w:szCs w:val="22"/>
                <w:lang w:val="ru-RU" w:eastAsia="en-US"/>
              </w:rPr>
            </w:pPr>
          </w:p>
        </w:tc>
      </w:tr>
      <w:tr w:rsidR="009A4A5A" w:rsidRPr="005E77C9" w:rsidTr="00364BFE">
        <w:trPr>
          <w:gridAfter w:val="4"/>
          <w:wAfter w:w="4396" w:type="dxa"/>
          <w:trHeight w:val="172"/>
        </w:trPr>
        <w:tc>
          <w:tcPr>
            <w:tcW w:w="4641" w:type="dxa"/>
            <w:vMerge/>
            <w:tcBorders>
              <w:left w:val="single" w:sz="4" w:space="0" w:color="auto"/>
              <w:bottom w:val="single" w:sz="4" w:space="0" w:color="auto"/>
              <w:right w:val="single" w:sz="4" w:space="0" w:color="auto"/>
            </w:tcBorders>
            <w:vAlign w:val="bottom"/>
          </w:tcPr>
          <w:p w:rsidR="009A4A5A" w:rsidRPr="005E77C9" w:rsidRDefault="009A4A5A" w:rsidP="00115CA1">
            <w:pPr>
              <w:rPr>
                <w:sz w:val="22"/>
                <w:szCs w:val="22"/>
              </w:rPr>
            </w:pPr>
          </w:p>
        </w:tc>
        <w:tc>
          <w:tcPr>
            <w:tcW w:w="993" w:type="dxa"/>
            <w:tcBorders>
              <w:top w:val="single" w:sz="4" w:space="0" w:color="auto"/>
              <w:left w:val="single" w:sz="4" w:space="0" w:color="auto"/>
              <w:bottom w:val="single" w:sz="4" w:space="0" w:color="auto"/>
              <w:right w:val="single" w:sz="4" w:space="0" w:color="auto"/>
            </w:tcBorders>
            <w:vAlign w:val="bottom"/>
          </w:tcPr>
          <w:p w:rsidR="009A4A5A" w:rsidRPr="005E77C9" w:rsidRDefault="009A4A5A" w:rsidP="00115CA1">
            <w:pPr>
              <w:jc w:val="center"/>
              <w:rPr>
                <w:snapToGrid w:val="0"/>
                <w:color w:val="000000"/>
                <w:sz w:val="22"/>
                <w:szCs w:val="22"/>
                <w:lang w:val="ru-RU" w:eastAsia="en-US"/>
              </w:rPr>
            </w:pPr>
            <w:r w:rsidRPr="005E77C9">
              <w:rPr>
                <w:snapToGrid w:val="0"/>
                <w:color w:val="000000"/>
                <w:sz w:val="22"/>
                <w:szCs w:val="22"/>
                <w:lang w:val="ru-RU" w:eastAsia="en-US"/>
              </w:rPr>
              <w:t>1</w:t>
            </w:r>
          </w:p>
        </w:tc>
        <w:tc>
          <w:tcPr>
            <w:tcW w:w="1134" w:type="dxa"/>
            <w:tcBorders>
              <w:top w:val="single" w:sz="4" w:space="0" w:color="auto"/>
              <w:left w:val="single" w:sz="4" w:space="0" w:color="auto"/>
              <w:bottom w:val="single" w:sz="4" w:space="0" w:color="auto"/>
              <w:right w:val="single" w:sz="4" w:space="0" w:color="auto"/>
            </w:tcBorders>
            <w:vAlign w:val="bottom"/>
          </w:tcPr>
          <w:p w:rsidR="009A4A5A" w:rsidRPr="005E77C9" w:rsidRDefault="009A4A5A" w:rsidP="00115CA1">
            <w:pPr>
              <w:jc w:val="center"/>
              <w:rPr>
                <w:snapToGrid w:val="0"/>
                <w:color w:val="000000"/>
                <w:sz w:val="22"/>
                <w:szCs w:val="22"/>
                <w:lang w:val="ru-RU" w:eastAsia="en-US"/>
              </w:rPr>
            </w:pPr>
            <w:r w:rsidRPr="005E77C9">
              <w:rPr>
                <w:snapToGrid w:val="0"/>
                <w:color w:val="000000"/>
                <w:sz w:val="22"/>
                <w:szCs w:val="22"/>
                <w:lang w:val="ru-RU" w:eastAsia="en-US"/>
              </w:rPr>
              <w:t>2</w:t>
            </w:r>
          </w:p>
        </w:tc>
        <w:tc>
          <w:tcPr>
            <w:tcW w:w="1134" w:type="dxa"/>
            <w:tcBorders>
              <w:top w:val="single" w:sz="4" w:space="0" w:color="auto"/>
              <w:left w:val="single" w:sz="4" w:space="0" w:color="auto"/>
              <w:bottom w:val="single" w:sz="4" w:space="0" w:color="auto"/>
              <w:right w:val="single" w:sz="4" w:space="0" w:color="auto"/>
            </w:tcBorders>
            <w:vAlign w:val="bottom"/>
          </w:tcPr>
          <w:p w:rsidR="009A4A5A" w:rsidRPr="005E77C9" w:rsidRDefault="009A4A5A" w:rsidP="00115CA1">
            <w:pPr>
              <w:jc w:val="right"/>
              <w:rPr>
                <w:snapToGrid w:val="0"/>
                <w:color w:val="000000"/>
                <w:sz w:val="22"/>
                <w:szCs w:val="22"/>
                <w:lang w:val="ru-RU" w:eastAsia="en-US"/>
              </w:rPr>
            </w:pPr>
          </w:p>
        </w:tc>
        <w:tc>
          <w:tcPr>
            <w:tcW w:w="1134" w:type="dxa"/>
            <w:tcBorders>
              <w:top w:val="single" w:sz="4" w:space="0" w:color="auto"/>
              <w:left w:val="single" w:sz="4" w:space="0" w:color="auto"/>
              <w:bottom w:val="single" w:sz="4" w:space="0" w:color="auto"/>
              <w:right w:val="single" w:sz="4" w:space="0" w:color="auto"/>
            </w:tcBorders>
            <w:vAlign w:val="bottom"/>
          </w:tcPr>
          <w:p w:rsidR="009A4A5A" w:rsidRPr="005E77C9" w:rsidRDefault="009A4A5A" w:rsidP="00115CA1">
            <w:pPr>
              <w:jc w:val="center"/>
              <w:rPr>
                <w:snapToGrid w:val="0"/>
                <w:color w:val="000000"/>
                <w:sz w:val="22"/>
                <w:szCs w:val="22"/>
                <w:lang w:val="ru-RU" w:eastAsia="en-US"/>
              </w:rPr>
            </w:pPr>
            <w:r w:rsidRPr="005E77C9">
              <w:rPr>
                <w:snapToGrid w:val="0"/>
                <w:color w:val="000000"/>
                <w:sz w:val="22"/>
                <w:szCs w:val="22"/>
                <w:lang w:val="ru-RU" w:eastAsia="en-US"/>
              </w:rPr>
              <w:t>3</w:t>
            </w:r>
          </w:p>
        </w:tc>
        <w:tc>
          <w:tcPr>
            <w:tcW w:w="1134" w:type="dxa"/>
            <w:tcBorders>
              <w:top w:val="single" w:sz="4" w:space="0" w:color="auto"/>
              <w:left w:val="single" w:sz="4" w:space="0" w:color="auto"/>
              <w:bottom w:val="single" w:sz="4" w:space="0" w:color="auto"/>
              <w:right w:val="single" w:sz="4" w:space="0" w:color="auto"/>
            </w:tcBorders>
            <w:vAlign w:val="bottom"/>
          </w:tcPr>
          <w:p w:rsidR="009A4A5A" w:rsidRPr="005E77C9" w:rsidRDefault="009A4A5A" w:rsidP="00115CA1">
            <w:pPr>
              <w:jc w:val="right"/>
              <w:rPr>
                <w:snapToGrid w:val="0"/>
                <w:color w:val="000000"/>
                <w:sz w:val="22"/>
                <w:szCs w:val="22"/>
                <w:lang w:val="ru-RU" w:eastAsia="en-US"/>
              </w:rPr>
            </w:pPr>
          </w:p>
        </w:tc>
      </w:tr>
      <w:tr w:rsidR="007B6B32" w:rsidRPr="005E77C9" w:rsidTr="00364BFE">
        <w:trPr>
          <w:gridAfter w:val="4"/>
          <w:wAfter w:w="4396" w:type="dxa"/>
          <w:trHeight w:val="403"/>
        </w:trPr>
        <w:tc>
          <w:tcPr>
            <w:tcW w:w="4641" w:type="dxa"/>
            <w:tcBorders>
              <w:left w:val="single" w:sz="4" w:space="0" w:color="auto"/>
              <w:bottom w:val="single" w:sz="4" w:space="0" w:color="auto"/>
              <w:right w:val="nil"/>
            </w:tcBorders>
            <w:vAlign w:val="bottom"/>
          </w:tcPr>
          <w:p w:rsidR="007B6B32" w:rsidRPr="005E77C9" w:rsidRDefault="007B6B32" w:rsidP="007B6B32">
            <w:pPr>
              <w:rPr>
                <w:rFonts w:ascii="Arial" w:hAnsi="Arial" w:cs="Arial"/>
                <w:i/>
                <w:sz w:val="22"/>
                <w:szCs w:val="22"/>
                <w:lang w:val="ru-RU"/>
              </w:rPr>
            </w:pPr>
            <w:r w:rsidRPr="005E77C9">
              <w:rPr>
                <w:rFonts w:ascii="Arial" w:hAnsi="Arial" w:cs="Arial"/>
                <w:i/>
                <w:sz w:val="20"/>
                <w:szCs w:val="22"/>
              </w:rPr>
              <w:t>в хил. лева</w:t>
            </w:r>
          </w:p>
        </w:tc>
        <w:tc>
          <w:tcPr>
            <w:tcW w:w="993" w:type="dxa"/>
            <w:tcBorders>
              <w:left w:val="single" w:sz="4" w:space="0" w:color="auto"/>
              <w:bottom w:val="single" w:sz="4" w:space="0" w:color="auto"/>
              <w:right w:val="single" w:sz="4" w:space="0" w:color="auto"/>
            </w:tcBorders>
            <w:vAlign w:val="center"/>
          </w:tcPr>
          <w:p w:rsidR="007B6B32" w:rsidRPr="00545A61" w:rsidRDefault="007B6B32" w:rsidP="004C6778">
            <w:pPr>
              <w:jc w:val="center"/>
              <w:rPr>
                <w:rFonts w:ascii="Arial" w:hAnsi="Arial" w:cs="Arial"/>
                <w:sz w:val="22"/>
                <w:szCs w:val="22"/>
                <w:lang w:eastAsia="bg-BG"/>
              </w:rPr>
            </w:pPr>
            <w:r w:rsidRPr="00545A61">
              <w:rPr>
                <w:rFonts w:ascii="Arial" w:hAnsi="Arial" w:cs="Arial"/>
                <w:sz w:val="22"/>
                <w:szCs w:val="22"/>
              </w:rPr>
              <w:t>201</w:t>
            </w:r>
            <w:r w:rsidR="00033838" w:rsidRPr="00545A61">
              <w:rPr>
                <w:rFonts w:ascii="Arial" w:hAnsi="Arial" w:cs="Arial"/>
                <w:sz w:val="22"/>
                <w:szCs w:val="22"/>
              </w:rPr>
              <w:t>9</w:t>
            </w:r>
            <w:r w:rsidRPr="00545A61">
              <w:rPr>
                <w:rFonts w:ascii="Arial" w:hAnsi="Arial" w:cs="Arial"/>
                <w:sz w:val="22"/>
                <w:szCs w:val="22"/>
              </w:rPr>
              <w:t xml:space="preserve"> г.</w:t>
            </w:r>
          </w:p>
        </w:tc>
        <w:tc>
          <w:tcPr>
            <w:tcW w:w="1134" w:type="dxa"/>
            <w:tcBorders>
              <w:left w:val="nil"/>
              <w:bottom w:val="single" w:sz="4" w:space="0" w:color="auto"/>
              <w:right w:val="nil"/>
            </w:tcBorders>
            <w:vAlign w:val="center"/>
          </w:tcPr>
          <w:p w:rsidR="007B6B32" w:rsidRPr="00545A61" w:rsidRDefault="007B6B32" w:rsidP="007B6B32">
            <w:pPr>
              <w:jc w:val="center"/>
              <w:rPr>
                <w:rFonts w:ascii="Arial" w:hAnsi="Arial" w:cs="Arial"/>
                <w:sz w:val="22"/>
                <w:szCs w:val="22"/>
              </w:rPr>
            </w:pPr>
            <w:r w:rsidRPr="00545A61">
              <w:rPr>
                <w:rFonts w:ascii="Arial" w:hAnsi="Arial" w:cs="Arial"/>
                <w:sz w:val="20"/>
                <w:szCs w:val="22"/>
              </w:rPr>
              <w:t>бизнес план</w:t>
            </w:r>
          </w:p>
        </w:tc>
        <w:tc>
          <w:tcPr>
            <w:tcW w:w="1134" w:type="dxa"/>
            <w:tcBorders>
              <w:left w:val="single" w:sz="4" w:space="0" w:color="auto"/>
              <w:bottom w:val="single" w:sz="4" w:space="0" w:color="auto"/>
              <w:right w:val="single" w:sz="4" w:space="0" w:color="auto"/>
            </w:tcBorders>
            <w:vAlign w:val="center"/>
          </w:tcPr>
          <w:p w:rsidR="007B6B32" w:rsidRPr="00545A61" w:rsidRDefault="007B6B32" w:rsidP="007B6B32">
            <w:pPr>
              <w:jc w:val="center"/>
              <w:rPr>
                <w:rFonts w:ascii="Arial" w:hAnsi="Arial" w:cs="Arial"/>
                <w:sz w:val="22"/>
                <w:szCs w:val="22"/>
              </w:rPr>
            </w:pPr>
            <w:r w:rsidRPr="00545A61">
              <w:rPr>
                <w:rFonts w:ascii="Arial" w:hAnsi="Arial" w:cs="Arial"/>
                <w:sz w:val="22"/>
                <w:szCs w:val="22"/>
              </w:rPr>
              <w:t>1/2 (%)</w:t>
            </w:r>
          </w:p>
        </w:tc>
        <w:tc>
          <w:tcPr>
            <w:tcW w:w="1134" w:type="dxa"/>
            <w:tcBorders>
              <w:left w:val="nil"/>
              <w:bottom w:val="single" w:sz="4" w:space="0" w:color="auto"/>
              <w:right w:val="nil"/>
            </w:tcBorders>
            <w:vAlign w:val="center"/>
          </w:tcPr>
          <w:p w:rsidR="007B6B32" w:rsidRPr="00545A61" w:rsidRDefault="007B6B32" w:rsidP="004C6778">
            <w:pPr>
              <w:jc w:val="center"/>
              <w:rPr>
                <w:rFonts w:ascii="Arial" w:hAnsi="Arial" w:cs="Arial"/>
                <w:sz w:val="22"/>
                <w:szCs w:val="22"/>
              </w:rPr>
            </w:pPr>
            <w:r w:rsidRPr="00545A61">
              <w:rPr>
                <w:rFonts w:ascii="Arial" w:hAnsi="Arial" w:cs="Arial"/>
                <w:sz w:val="22"/>
                <w:szCs w:val="22"/>
              </w:rPr>
              <w:t>201</w:t>
            </w:r>
            <w:r w:rsidR="00033838" w:rsidRPr="00545A61">
              <w:rPr>
                <w:rFonts w:ascii="Arial" w:hAnsi="Arial" w:cs="Arial"/>
                <w:sz w:val="22"/>
                <w:szCs w:val="22"/>
              </w:rPr>
              <w:t>8</w:t>
            </w:r>
            <w:r w:rsidRPr="00545A61">
              <w:rPr>
                <w:rFonts w:ascii="Arial" w:hAnsi="Arial" w:cs="Arial"/>
                <w:sz w:val="22"/>
                <w:szCs w:val="22"/>
              </w:rPr>
              <w:t xml:space="preserve"> г.</w:t>
            </w:r>
          </w:p>
        </w:tc>
        <w:tc>
          <w:tcPr>
            <w:tcW w:w="1134" w:type="dxa"/>
            <w:tcBorders>
              <w:left w:val="single" w:sz="4" w:space="0" w:color="auto"/>
              <w:bottom w:val="single" w:sz="4" w:space="0" w:color="auto"/>
              <w:right w:val="single" w:sz="4" w:space="0" w:color="auto"/>
            </w:tcBorders>
            <w:vAlign w:val="center"/>
          </w:tcPr>
          <w:p w:rsidR="007B6B32" w:rsidRPr="00545A61" w:rsidRDefault="007B6B32" w:rsidP="007B6B32">
            <w:pPr>
              <w:jc w:val="center"/>
              <w:rPr>
                <w:rFonts w:ascii="Arial" w:hAnsi="Arial" w:cs="Arial"/>
                <w:sz w:val="22"/>
                <w:szCs w:val="22"/>
              </w:rPr>
            </w:pPr>
            <w:r w:rsidRPr="00545A61">
              <w:rPr>
                <w:rFonts w:ascii="Arial" w:hAnsi="Arial" w:cs="Arial"/>
                <w:sz w:val="22"/>
                <w:szCs w:val="22"/>
              </w:rPr>
              <w:t> 1/3 (%)</w:t>
            </w:r>
          </w:p>
        </w:tc>
      </w:tr>
      <w:tr w:rsidR="00135F12" w:rsidRPr="005E77C9" w:rsidTr="00135F12">
        <w:trPr>
          <w:gridAfter w:val="4"/>
          <w:wAfter w:w="4396" w:type="dxa"/>
          <w:trHeight w:val="330"/>
        </w:trPr>
        <w:tc>
          <w:tcPr>
            <w:tcW w:w="4641" w:type="dxa"/>
            <w:tcBorders>
              <w:top w:val="single" w:sz="4" w:space="0" w:color="auto"/>
              <w:left w:val="single" w:sz="4" w:space="0" w:color="auto"/>
              <w:bottom w:val="single" w:sz="4" w:space="0" w:color="auto"/>
              <w:right w:val="single" w:sz="4" w:space="0" w:color="auto"/>
            </w:tcBorders>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Нетни приходи от продажби</w:t>
            </w:r>
          </w:p>
        </w:tc>
        <w:tc>
          <w:tcPr>
            <w:tcW w:w="993" w:type="dxa"/>
            <w:tcBorders>
              <w:top w:val="nil"/>
              <w:left w:val="nil"/>
              <w:bottom w:val="nil"/>
              <w:right w:val="nil"/>
            </w:tcBorders>
            <w:shd w:val="clear" w:color="auto" w:fill="auto"/>
            <w:vAlign w:val="bottom"/>
          </w:tcPr>
          <w:p w:rsidR="00135F12" w:rsidRPr="00545A61" w:rsidRDefault="00135F12" w:rsidP="00135F12">
            <w:pPr>
              <w:jc w:val="right"/>
              <w:rPr>
                <w:rFonts w:ascii="Arial" w:hAnsi="Arial" w:cs="Arial"/>
                <w:sz w:val="20"/>
                <w:szCs w:val="20"/>
                <w:lang w:eastAsia="en-US"/>
              </w:rPr>
            </w:pPr>
            <w:r w:rsidRPr="00545A61">
              <w:rPr>
                <w:rFonts w:ascii="Arial" w:hAnsi="Arial" w:cs="Arial"/>
                <w:sz w:val="20"/>
                <w:szCs w:val="20"/>
              </w:rPr>
              <w:t>5 236</w:t>
            </w:r>
          </w:p>
        </w:tc>
        <w:tc>
          <w:tcPr>
            <w:tcW w:w="1134" w:type="dxa"/>
            <w:tcBorders>
              <w:top w:val="nil"/>
              <w:left w:val="single" w:sz="4" w:space="0" w:color="auto"/>
              <w:bottom w:val="nil"/>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5 263</w:t>
            </w:r>
          </w:p>
        </w:tc>
        <w:tc>
          <w:tcPr>
            <w:tcW w:w="1134" w:type="dxa"/>
            <w:tcBorders>
              <w:top w:val="nil"/>
              <w:left w:val="nil"/>
              <w:bottom w:val="nil"/>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-0.5%</w:t>
            </w:r>
          </w:p>
        </w:tc>
        <w:tc>
          <w:tcPr>
            <w:tcW w:w="1134" w:type="dxa"/>
            <w:tcBorders>
              <w:top w:val="nil"/>
              <w:left w:val="nil"/>
              <w:bottom w:val="nil"/>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5 253</w:t>
            </w:r>
          </w:p>
        </w:tc>
        <w:tc>
          <w:tcPr>
            <w:tcW w:w="1134" w:type="dxa"/>
            <w:tcBorders>
              <w:top w:val="nil"/>
              <w:left w:val="nil"/>
              <w:bottom w:val="nil"/>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-0.3%</w:t>
            </w:r>
          </w:p>
        </w:tc>
      </w:tr>
      <w:tr w:rsidR="00135F12" w:rsidRPr="005E77C9" w:rsidTr="00135F12">
        <w:trPr>
          <w:gridAfter w:val="4"/>
          <w:wAfter w:w="4396" w:type="dxa"/>
          <w:trHeight w:val="315"/>
        </w:trPr>
        <w:tc>
          <w:tcPr>
            <w:tcW w:w="4641" w:type="dxa"/>
            <w:tcBorders>
              <w:top w:val="single" w:sz="4" w:space="0" w:color="auto"/>
              <w:left w:val="single" w:sz="4" w:space="0" w:color="auto"/>
              <w:bottom w:val="single" w:sz="4" w:space="0" w:color="auto"/>
              <w:right w:val="nil"/>
            </w:tcBorders>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Оперативни разходи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4 711</w:t>
            </w:r>
          </w:p>
        </w:tc>
        <w:tc>
          <w:tcPr>
            <w:tcW w:w="1134" w:type="dxa"/>
            <w:tcBorders>
              <w:top w:val="single" w:sz="4" w:space="0" w:color="auto"/>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4 299</w:t>
            </w:r>
          </w:p>
        </w:tc>
        <w:tc>
          <w:tcPr>
            <w:tcW w:w="1134" w:type="dxa"/>
            <w:tcBorders>
              <w:top w:val="single" w:sz="4" w:space="0" w:color="auto"/>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9.6%</w:t>
            </w:r>
          </w:p>
        </w:tc>
        <w:tc>
          <w:tcPr>
            <w:tcW w:w="1134" w:type="dxa"/>
            <w:tcBorders>
              <w:top w:val="single" w:sz="4" w:space="0" w:color="auto"/>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4 290</w:t>
            </w:r>
          </w:p>
        </w:tc>
        <w:tc>
          <w:tcPr>
            <w:tcW w:w="1134" w:type="dxa"/>
            <w:tcBorders>
              <w:top w:val="single" w:sz="4" w:space="0" w:color="auto"/>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9.8%</w:t>
            </w:r>
          </w:p>
        </w:tc>
      </w:tr>
      <w:tr w:rsidR="00135F12" w:rsidRPr="005E77C9" w:rsidTr="00135F12">
        <w:trPr>
          <w:gridAfter w:val="4"/>
          <w:wAfter w:w="4396" w:type="dxa"/>
          <w:trHeight w:val="315"/>
        </w:trPr>
        <w:tc>
          <w:tcPr>
            <w:tcW w:w="4641" w:type="dxa"/>
            <w:tcBorders>
              <w:top w:val="single" w:sz="4" w:space="0" w:color="auto"/>
              <w:left w:val="single" w:sz="4" w:space="0" w:color="auto"/>
              <w:bottom w:val="single" w:sz="4" w:space="0" w:color="auto"/>
              <w:right w:val="nil"/>
            </w:tcBorders>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Печалба преди лихви, данъци и амортизации</w:t>
            </w:r>
            <w:r w:rsidRPr="00545A61">
              <w:rPr>
                <w:rFonts w:ascii="Arial" w:hAnsi="Arial" w:cs="Arial"/>
                <w:b/>
                <w:sz w:val="20"/>
                <w:szCs w:val="20"/>
              </w:rPr>
              <w:t xml:space="preserve"> </w:t>
            </w:r>
          </w:p>
        </w:tc>
        <w:tc>
          <w:tcPr>
            <w:tcW w:w="993" w:type="dxa"/>
            <w:tcBorders>
              <w:top w:val="nil"/>
              <w:left w:val="single" w:sz="4" w:space="0" w:color="auto"/>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937</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978</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-4.2%</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1 003</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-6.6%</w:t>
            </w:r>
          </w:p>
        </w:tc>
      </w:tr>
      <w:tr w:rsidR="00135F12" w:rsidRPr="005E77C9" w:rsidTr="00135F12">
        <w:trPr>
          <w:gridAfter w:val="4"/>
          <w:wAfter w:w="4396" w:type="dxa"/>
          <w:trHeight w:val="315"/>
        </w:trPr>
        <w:tc>
          <w:tcPr>
            <w:tcW w:w="4641" w:type="dxa"/>
            <w:tcBorders>
              <w:top w:val="single" w:sz="4" w:space="0" w:color="auto"/>
              <w:left w:val="single" w:sz="4" w:space="0" w:color="auto"/>
              <w:bottom w:val="single" w:sz="4" w:space="0" w:color="auto"/>
              <w:right w:val="nil"/>
            </w:tcBorders>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EBITDA/Приходи от продажби (%)</w:t>
            </w:r>
          </w:p>
        </w:tc>
        <w:tc>
          <w:tcPr>
            <w:tcW w:w="993" w:type="dxa"/>
            <w:tcBorders>
              <w:top w:val="nil"/>
              <w:left w:val="single" w:sz="4" w:space="0" w:color="auto"/>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17.9%</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18.6%</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-3.8%</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19.1%</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-6.3%</w:t>
            </w:r>
          </w:p>
        </w:tc>
      </w:tr>
      <w:tr w:rsidR="00135F12" w:rsidRPr="005E77C9" w:rsidTr="00135F12">
        <w:trPr>
          <w:gridAfter w:val="4"/>
          <w:wAfter w:w="4396" w:type="dxa"/>
          <w:trHeight w:val="315"/>
        </w:trPr>
        <w:tc>
          <w:tcPr>
            <w:tcW w:w="4641" w:type="dxa"/>
            <w:tcBorders>
              <w:top w:val="single" w:sz="4" w:space="0" w:color="auto"/>
              <w:left w:val="single" w:sz="4" w:space="0" w:color="auto"/>
              <w:bottom w:val="single" w:sz="4" w:space="0" w:color="auto"/>
              <w:right w:val="nil"/>
            </w:tcBorders>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Печалба преди лихви, данъци и финансирания (EBIT)</w:t>
            </w:r>
          </w:p>
        </w:tc>
        <w:tc>
          <w:tcPr>
            <w:tcW w:w="993" w:type="dxa"/>
            <w:tcBorders>
              <w:top w:val="nil"/>
              <w:left w:val="single" w:sz="4" w:space="0" w:color="auto"/>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556</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547</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1.6%</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610</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-8.9%</w:t>
            </w:r>
          </w:p>
        </w:tc>
      </w:tr>
      <w:tr w:rsidR="00135F12" w:rsidRPr="005E77C9" w:rsidTr="00135F12">
        <w:trPr>
          <w:gridAfter w:val="4"/>
          <w:wAfter w:w="4396" w:type="dxa"/>
          <w:trHeight w:val="315"/>
        </w:trPr>
        <w:tc>
          <w:tcPr>
            <w:tcW w:w="4641" w:type="dxa"/>
            <w:tcBorders>
              <w:top w:val="single" w:sz="4" w:space="0" w:color="auto"/>
              <w:left w:val="single" w:sz="4" w:space="0" w:color="auto"/>
              <w:bottom w:val="single" w:sz="4" w:space="0" w:color="auto"/>
              <w:right w:val="nil"/>
            </w:tcBorders>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ЕBIT/Приходи от продажби (%)</w:t>
            </w:r>
          </w:p>
        </w:tc>
        <w:tc>
          <w:tcPr>
            <w:tcW w:w="993" w:type="dxa"/>
            <w:tcBorders>
              <w:top w:val="nil"/>
              <w:left w:val="single" w:sz="4" w:space="0" w:color="auto"/>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10.6%</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10.4%</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1.9%</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11.6%</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-8.6%</w:t>
            </w:r>
          </w:p>
        </w:tc>
      </w:tr>
      <w:tr w:rsidR="00135F12" w:rsidRPr="005E77C9" w:rsidTr="00135F12">
        <w:trPr>
          <w:gridAfter w:val="4"/>
          <w:wAfter w:w="4396" w:type="dxa"/>
          <w:trHeight w:val="315"/>
        </w:trPr>
        <w:tc>
          <w:tcPr>
            <w:tcW w:w="4641" w:type="dxa"/>
            <w:tcBorders>
              <w:top w:val="single" w:sz="4" w:space="0" w:color="auto"/>
              <w:left w:val="single" w:sz="4" w:space="0" w:color="auto"/>
              <w:bottom w:val="single" w:sz="4" w:space="0" w:color="auto"/>
              <w:right w:val="nil"/>
            </w:tcBorders>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Печалба преди данъци</w:t>
            </w:r>
          </w:p>
        </w:tc>
        <w:tc>
          <w:tcPr>
            <w:tcW w:w="993" w:type="dxa"/>
            <w:tcBorders>
              <w:top w:val="nil"/>
              <w:left w:val="single" w:sz="4" w:space="0" w:color="auto"/>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562</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550</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2.2%</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618</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-9.1%</w:t>
            </w:r>
          </w:p>
        </w:tc>
      </w:tr>
      <w:tr w:rsidR="00135F12" w:rsidRPr="005E77C9" w:rsidTr="00135F12">
        <w:trPr>
          <w:gridAfter w:val="4"/>
          <w:wAfter w:w="4396" w:type="dxa"/>
          <w:trHeight w:val="315"/>
        </w:trPr>
        <w:tc>
          <w:tcPr>
            <w:tcW w:w="4641" w:type="dxa"/>
            <w:tcBorders>
              <w:top w:val="single" w:sz="4" w:space="0" w:color="auto"/>
              <w:left w:val="single" w:sz="4" w:space="0" w:color="auto"/>
              <w:bottom w:val="single" w:sz="4" w:space="0" w:color="auto"/>
              <w:right w:val="nil"/>
            </w:tcBorders>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Чиста печалба</w:t>
            </w:r>
          </w:p>
        </w:tc>
        <w:tc>
          <w:tcPr>
            <w:tcW w:w="993" w:type="dxa"/>
            <w:tcBorders>
              <w:top w:val="nil"/>
              <w:left w:val="single" w:sz="4" w:space="0" w:color="auto"/>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506</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495</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2.2%</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556</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-9.0%</w:t>
            </w:r>
          </w:p>
        </w:tc>
      </w:tr>
      <w:tr w:rsidR="00135F12" w:rsidRPr="005E77C9" w:rsidTr="00135F12">
        <w:trPr>
          <w:gridAfter w:val="4"/>
          <w:wAfter w:w="4396" w:type="dxa"/>
          <w:trHeight w:val="315"/>
        </w:trPr>
        <w:tc>
          <w:tcPr>
            <w:tcW w:w="4641" w:type="dxa"/>
            <w:tcBorders>
              <w:top w:val="single" w:sz="4" w:space="0" w:color="auto"/>
              <w:left w:val="single" w:sz="4" w:space="0" w:color="auto"/>
              <w:bottom w:val="single" w:sz="4" w:space="0" w:color="auto"/>
              <w:right w:val="nil"/>
            </w:tcBorders>
            <w:vAlign w:val="bottom"/>
          </w:tcPr>
          <w:p w:rsidR="00135F12" w:rsidRPr="00545A61" w:rsidRDefault="00135F12" w:rsidP="00135F12">
            <w:pPr>
              <w:pStyle w:val="FootnoteText"/>
              <w:rPr>
                <w:rFonts w:ascii="Arial" w:hAnsi="Arial" w:cs="Arial"/>
              </w:rPr>
            </w:pPr>
            <w:r w:rsidRPr="00545A61">
              <w:rPr>
                <w:rFonts w:ascii="Arial" w:hAnsi="Arial" w:cs="Arial"/>
              </w:rPr>
              <w:t>Паричен поток (печалба + амортизации)</w:t>
            </w:r>
          </w:p>
        </w:tc>
        <w:tc>
          <w:tcPr>
            <w:tcW w:w="993" w:type="dxa"/>
            <w:tcBorders>
              <w:top w:val="nil"/>
              <w:left w:val="single" w:sz="4" w:space="0" w:color="auto"/>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887</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926</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-4.2%</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949</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-6.5%</w:t>
            </w:r>
          </w:p>
        </w:tc>
      </w:tr>
      <w:tr w:rsidR="00135F12" w:rsidRPr="005E77C9" w:rsidTr="00364BFE">
        <w:trPr>
          <w:gridAfter w:val="4"/>
          <w:wAfter w:w="4396" w:type="dxa"/>
          <w:trHeight w:val="217"/>
        </w:trPr>
        <w:tc>
          <w:tcPr>
            <w:tcW w:w="4641" w:type="dxa"/>
            <w:tcBorders>
              <w:top w:val="single" w:sz="4" w:space="0" w:color="auto"/>
              <w:left w:val="single" w:sz="4" w:space="0" w:color="auto"/>
              <w:right w:val="nil"/>
            </w:tcBorders>
            <w:shd w:val="clear" w:color="auto" w:fill="C0C0C0"/>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C0C0C0"/>
            <w:vAlign w:val="bottom"/>
          </w:tcPr>
          <w:p w:rsidR="00135F12" w:rsidRPr="00545A61" w:rsidRDefault="00135F12" w:rsidP="00135F12">
            <w:pPr>
              <w:rPr>
                <w:rFonts w:ascii="Arial" w:hAnsi="Arial" w:cs="Arial"/>
                <w:sz w:val="22"/>
                <w:szCs w:val="22"/>
              </w:rPr>
            </w:pPr>
            <w:r w:rsidRPr="00545A61">
              <w:rPr>
                <w:rFonts w:ascii="Arial" w:hAnsi="Arial" w:cs="Arial"/>
                <w:sz w:val="22"/>
                <w:szCs w:val="22"/>
              </w:rPr>
              <w:t> </w:t>
            </w:r>
          </w:p>
        </w:tc>
        <w:tc>
          <w:tcPr>
            <w:tcW w:w="1134" w:type="dxa"/>
            <w:tcBorders>
              <w:top w:val="single" w:sz="4" w:space="0" w:color="auto"/>
              <w:left w:val="nil"/>
              <w:bottom w:val="single" w:sz="4" w:space="0" w:color="auto"/>
              <w:right w:val="nil"/>
            </w:tcBorders>
            <w:shd w:val="clear" w:color="auto" w:fill="C0C0C0"/>
            <w:vAlign w:val="bottom"/>
          </w:tcPr>
          <w:p w:rsidR="00135F12" w:rsidRPr="00545A61" w:rsidRDefault="00135F12" w:rsidP="00135F12">
            <w:pPr>
              <w:rPr>
                <w:rFonts w:ascii="Arial" w:hAnsi="Arial" w:cs="Arial"/>
                <w:sz w:val="22"/>
                <w:szCs w:val="22"/>
              </w:rPr>
            </w:pPr>
            <w:r w:rsidRPr="00545A61">
              <w:rPr>
                <w:rFonts w:ascii="Arial" w:hAnsi="Arial" w:cs="Arial"/>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bottom"/>
          </w:tcPr>
          <w:p w:rsidR="00135F12" w:rsidRPr="00545A61" w:rsidRDefault="00135F12" w:rsidP="00135F12">
            <w:pPr>
              <w:rPr>
                <w:rFonts w:ascii="Arial" w:hAnsi="Arial" w:cs="Arial"/>
                <w:sz w:val="22"/>
                <w:szCs w:val="22"/>
              </w:rPr>
            </w:pPr>
            <w:r w:rsidRPr="00545A61">
              <w:rPr>
                <w:rFonts w:ascii="Arial" w:hAnsi="Arial" w:cs="Arial"/>
                <w:sz w:val="22"/>
                <w:szCs w:val="22"/>
              </w:rPr>
              <w:t> </w:t>
            </w:r>
          </w:p>
        </w:tc>
        <w:tc>
          <w:tcPr>
            <w:tcW w:w="1134" w:type="dxa"/>
            <w:tcBorders>
              <w:top w:val="single" w:sz="4" w:space="0" w:color="auto"/>
              <w:left w:val="nil"/>
              <w:bottom w:val="single" w:sz="4" w:space="0" w:color="auto"/>
              <w:right w:val="nil"/>
            </w:tcBorders>
            <w:shd w:val="clear" w:color="auto" w:fill="C0C0C0"/>
            <w:vAlign w:val="bottom"/>
          </w:tcPr>
          <w:p w:rsidR="00135F12" w:rsidRPr="00545A61" w:rsidRDefault="00135F12" w:rsidP="00135F12">
            <w:pPr>
              <w:rPr>
                <w:rFonts w:ascii="Arial" w:hAnsi="Arial" w:cs="Arial"/>
                <w:sz w:val="22"/>
                <w:szCs w:val="22"/>
              </w:rPr>
            </w:pPr>
            <w:r w:rsidRPr="00545A61">
              <w:rPr>
                <w:rFonts w:ascii="Arial" w:hAnsi="Arial" w:cs="Arial"/>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bottom"/>
          </w:tcPr>
          <w:p w:rsidR="00135F12" w:rsidRPr="00545A61" w:rsidRDefault="00135F12" w:rsidP="00135F12">
            <w:pPr>
              <w:rPr>
                <w:rFonts w:ascii="Arial" w:hAnsi="Arial" w:cs="Arial"/>
                <w:sz w:val="22"/>
                <w:szCs w:val="22"/>
              </w:rPr>
            </w:pPr>
            <w:r w:rsidRPr="00545A61">
              <w:rPr>
                <w:rFonts w:ascii="Arial" w:hAnsi="Arial" w:cs="Arial"/>
                <w:sz w:val="22"/>
                <w:szCs w:val="22"/>
              </w:rPr>
              <w:t> </w:t>
            </w:r>
          </w:p>
        </w:tc>
      </w:tr>
      <w:tr w:rsidR="00135F12" w:rsidRPr="005E77C9" w:rsidTr="00364BFE">
        <w:trPr>
          <w:gridAfter w:val="4"/>
          <w:wAfter w:w="4396" w:type="dxa"/>
          <w:trHeight w:val="391"/>
        </w:trPr>
        <w:tc>
          <w:tcPr>
            <w:tcW w:w="4641" w:type="dxa"/>
            <w:tcBorders>
              <w:top w:val="single" w:sz="4" w:space="0" w:color="auto"/>
              <w:left w:val="single" w:sz="4" w:space="0" w:color="auto"/>
              <w:bottom w:val="single" w:sz="4" w:space="0" w:color="auto"/>
              <w:right w:val="single" w:sz="4" w:space="0" w:color="auto"/>
            </w:tcBorders>
            <w:vAlign w:val="bottom"/>
          </w:tcPr>
          <w:p w:rsidR="00135F12" w:rsidRPr="00545A61" w:rsidRDefault="00135F12" w:rsidP="00135F12">
            <w:pPr>
              <w:rPr>
                <w:rFonts w:ascii="Arial" w:hAnsi="Arial" w:cs="Arial"/>
                <w:i/>
                <w:sz w:val="20"/>
                <w:szCs w:val="20"/>
              </w:rPr>
            </w:pPr>
            <w:r w:rsidRPr="00545A61">
              <w:rPr>
                <w:rFonts w:ascii="Arial" w:hAnsi="Arial" w:cs="Arial"/>
                <w:i/>
                <w:sz w:val="20"/>
                <w:szCs w:val="20"/>
              </w:rPr>
              <w:t>в хил. лева</w:t>
            </w:r>
          </w:p>
        </w:tc>
        <w:tc>
          <w:tcPr>
            <w:tcW w:w="993" w:type="dxa"/>
            <w:tcBorders>
              <w:top w:val="single" w:sz="4" w:space="0" w:color="auto"/>
              <w:left w:val="single" w:sz="4" w:space="0" w:color="auto"/>
              <w:bottom w:val="single" w:sz="4" w:space="0" w:color="auto"/>
              <w:right w:val="single" w:sz="4" w:space="0" w:color="auto"/>
            </w:tcBorders>
            <w:vAlign w:val="center"/>
          </w:tcPr>
          <w:p w:rsidR="00135F12" w:rsidRPr="00545A61" w:rsidRDefault="00135F12" w:rsidP="00135F12">
            <w:pPr>
              <w:jc w:val="center"/>
              <w:rPr>
                <w:rFonts w:ascii="Arial" w:hAnsi="Arial" w:cs="Arial"/>
                <w:sz w:val="22"/>
                <w:szCs w:val="22"/>
                <w:lang w:eastAsia="bg-BG"/>
              </w:rPr>
            </w:pPr>
            <w:r w:rsidRPr="00545A61">
              <w:rPr>
                <w:rFonts w:ascii="Arial" w:hAnsi="Arial" w:cs="Arial"/>
                <w:sz w:val="22"/>
                <w:szCs w:val="22"/>
              </w:rPr>
              <w:t>2019 г.</w:t>
            </w:r>
          </w:p>
        </w:tc>
        <w:tc>
          <w:tcPr>
            <w:tcW w:w="1134" w:type="dxa"/>
            <w:tcBorders>
              <w:top w:val="single" w:sz="4" w:space="0" w:color="auto"/>
              <w:left w:val="nil"/>
              <w:bottom w:val="single" w:sz="4" w:space="0" w:color="auto"/>
              <w:right w:val="nil"/>
            </w:tcBorders>
            <w:vAlign w:val="center"/>
          </w:tcPr>
          <w:p w:rsidR="00135F12" w:rsidRPr="00545A61" w:rsidRDefault="00135F12" w:rsidP="00135F12">
            <w:pPr>
              <w:jc w:val="center"/>
              <w:rPr>
                <w:rFonts w:ascii="Arial" w:hAnsi="Arial" w:cs="Arial"/>
                <w:sz w:val="22"/>
                <w:szCs w:val="22"/>
              </w:rPr>
            </w:pPr>
            <w:r w:rsidRPr="00545A61">
              <w:rPr>
                <w:rFonts w:ascii="Arial" w:hAnsi="Arial" w:cs="Arial"/>
                <w:sz w:val="20"/>
                <w:szCs w:val="22"/>
              </w:rPr>
              <w:t>бизнес план</w:t>
            </w:r>
          </w:p>
        </w:tc>
        <w:tc>
          <w:tcPr>
            <w:tcW w:w="1134" w:type="dxa"/>
            <w:tcBorders>
              <w:top w:val="single" w:sz="4" w:space="0" w:color="auto"/>
              <w:left w:val="single" w:sz="4" w:space="0" w:color="auto"/>
              <w:bottom w:val="single" w:sz="4" w:space="0" w:color="auto"/>
              <w:right w:val="single" w:sz="4" w:space="0" w:color="auto"/>
            </w:tcBorders>
            <w:vAlign w:val="center"/>
          </w:tcPr>
          <w:p w:rsidR="00135F12" w:rsidRPr="00545A61" w:rsidRDefault="00135F12" w:rsidP="00135F12">
            <w:pPr>
              <w:jc w:val="center"/>
              <w:rPr>
                <w:rFonts w:ascii="Arial" w:hAnsi="Arial" w:cs="Arial"/>
                <w:sz w:val="22"/>
                <w:szCs w:val="22"/>
              </w:rPr>
            </w:pPr>
            <w:r w:rsidRPr="00545A61">
              <w:rPr>
                <w:rFonts w:ascii="Arial" w:hAnsi="Arial" w:cs="Arial"/>
                <w:sz w:val="22"/>
                <w:szCs w:val="22"/>
              </w:rPr>
              <w:t>1/2 (%)</w:t>
            </w:r>
          </w:p>
        </w:tc>
        <w:tc>
          <w:tcPr>
            <w:tcW w:w="1134" w:type="dxa"/>
            <w:tcBorders>
              <w:top w:val="single" w:sz="4" w:space="0" w:color="auto"/>
              <w:left w:val="nil"/>
              <w:bottom w:val="single" w:sz="4" w:space="0" w:color="auto"/>
              <w:right w:val="nil"/>
            </w:tcBorders>
            <w:vAlign w:val="center"/>
          </w:tcPr>
          <w:p w:rsidR="00135F12" w:rsidRPr="00545A61" w:rsidRDefault="00135F12" w:rsidP="00135F12">
            <w:pPr>
              <w:jc w:val="center"/>
              <w:rPr>
                <w:rFonts w:ascii="Arial" w:hAnsi="Arial" w:cs="Arial"/>
                <w:sz w:val="22"/>
                <w:szCs w:val="22"/>
              </w:rPr>
            </w:pPr>
            <w:r w:rsidRPr="00545A61">
              <w:rPr>
                <w:rFonts w:ascii="Arial" w:hAnsi="Arial" w:cs="Arial"/>
                <w:sz w:val="22"/>
                <w:szCs w:val="22"/>
              </w:rPr>
              <w:t>2018 г.</w:t>
            </w:r>
          </w:p>
        </w:tc>
        <w:tc>
          <w:tcPr>
            <w:tcW w:w="1134" w:type="dxa"/>
            <w:tcBorders>
              <w:top w:val="single" w:sz="4" w:space="0" w:color="auto"/>
              <w:left w:val="single" w:sz="4" w:space="0" w:color="auto"/>
              <w:bottom w:val="single" w:sz="4" w:space="0" w:color="auto"/>
              <w:right w:val="single" w:sz="4" w:space="0" w:color="auto"/>
            </w:tcBorders>
            <w:vAlign w:val="center"/>
          </w:tcPr>
          <w:p w:rsidR="00135F12" w:rsidRPr="00545A61" w:rsidRDefault="00135F12" w:rsidP="00135F12">
            <w:pPr>
              <w:jc w:val="center"/>
              <w:rPr>
                <w:rFonts w:ascii="Arial" w:hAnsi="Arial" w:cs="Arial"/>
                <w:sz w:val="22"/>
                <w:szCs w:val="22"/>
              </w:rPr>
            </w:pPr>
            <w:r w:rsidRPr="00545A61">
              <w:rPr>
                <w:rFonts w:ascii="Arial" w:hAnsi="Arial" w:cs="Arial"/>
                <w:sz w:val="22"/>
                <w:szCs w:val="22"/>
              </w:rPr>
              <w:t> 1/3 (%)</w:t>
            </w:r>
          </w:p>
        </w:tc>
      </w:tr>
      <w:tr w:rsidR="00135F12" w:rsidRPr="005E77C9" w:rsidTr="00135F12">
        <w:trPr>
          <w:gridAfter w:val="4"/>
          <w:wAfter w:w="4396" w:type="dxa"/>
          <w:trHeight w:val="330"/>
        </w:trPr>
        <w:tc>
          <w:tcPr>
            <w:tcW w:w="4641" w:type="dxa"/>
            <w:tcBorders>
              <w:top w:val="single" w:sz="4" w:space="0" w:color="auto"/>
              <w:left w:val="single" w:sz="4" w:space="0" w:color="auto"/>
              <w:bottom w:val="single" w:sz="4" w:space="0" w:color="auto"/>
              <w:right w:val="single" w:sz="4" w:space="0" w:color="auto"/>
            </w:tcBorders>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Изменение на паричните наличности през периода (ПП по косвения метод)</w:t>
            </w:r>
          </w:p>
        </w:tc>
        <w:tc>
          <w:tcPr>
            <w:tcW w:w="993" w:type="dxa"/>
            <w:tcBorders>
              <w:top w:val="nil"/>
              <w:left w:val="nil"/>
              <w:bottom w:val="nil"/>
              <w:right w:val="nil"/>
            </w:tcBorders>
            <w:shd w:val="clear" w:color="auto" w:fill="auto"/>
            <w:vAlign w:val="bottom"/>
          </w:tcPr>
          <w:p w:rsidR="00135F12" w:rsidRPr="00545A61" w:rsidRDefault="00135F12" w:rsidP="00135F12">
            <w:pPr>
              <w:jc w:val="right"/>
              <w:rPr>
                <w:rFonts w:ascii="Arial" w:hAnsi="Arial" w:cs="Arial"/>
                <w:sz w:val="20"/>
                <w:szCs w:val="20"/>
                <w:lang w:eastAsia="en-US"/>
              </w:rPr>
            </w:pPr>
            <w:r w:rsidRPr="00545A61">
              <w:rPr>
                <w:rFonts w:ascii="Arial" w:hAnsi="Arial" w:cs="Arial"/>
                <w:sz w:val="20"/>
                <w:szCs w:val="20"/>
              </w:rPr>
              <w:t>137</w:t>
            </w:r>
          </w:p>
        </w:tc>
        <w:tc>
          <w:tcPr>
            <w:tcW w:w="1134" w:type="dxa"/>
            <w:tcBorders>
              <w:top w:val="nil"/>
              <w:left w:val="single" w:sz="4" w:space="0" w:color="auto"/>
              <w:bottom w:val="nil"/>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-1 962</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107.0%</w:t>
            </w:r>
          </w:p>
        </w:tc>
        <w:tc>
          <w:tcPr>
            <w:tcW w:w="1134" w:type="dxa"/>
            <w:tcBorders>
              <w:top w:val="nil"/>
              <w:left w:val="nil"/>
              <w:bottom w:val="nil"/>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231</w:t>
            </w:r>
          </w:p>
        </w:tc>
        <w:tc>
          <w:tcPr>
            <w:tcW w:w="1134" w:type="dxa"/>
            <w:tcBorders>
              <w:top w:val="nil"/>
              <w:left w:val="nil"/>
              <w:bottom w:val="nil"/>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-40.7%</w:t>
            </w:r>
          </w:p>
        </w:tc>
      </w:tr>
      <w:tr w:rsidR="00135F12" w:rsidRPr="005E77C9" w:rsidTr="00135F12">
        <w:trPr>
          <w:gridAfter w:val="4"/>
          <w:wAfter w:w="4396" w:type="dxa"/>
          <w:trHeight w:val="269"/>
        </w:trPr>
        <w:tc>
          <w:tcPr>
            <w:tcW w:w="4641" w:type="dxa"/>
            <w:tcBorders>
              <w:top w:val="single" w:sz="4" w:space="0" w:color="auto"/>
              <w:left w:val="single" w:sz="4" w:space="0" w:color="auto"/>
              <w:bottom w:val="single" w:sz="4" w:space="0" w:color="auto"/>
              <w:right w:val="single" w:sz="4" w:space="0" w:color="auto"/>
            </w:tcBorders>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 xml:space="preserve">Нетен паричен поток от основна дейност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548</w:t>
            </w:r>
          </w:p>
        </w:tc>
        <w:tc>
          <w:tcPr>
            <w:tcW w:w="1134" w:type="dxa"/>
            <w:tcBorders>
              <w:top w:val="single" w:sz="4" w:space="0" w:color="auto"/>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-1 379</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-139.7%</w:t>
            </w:r>
          </w:p>
        </w:tc>
        <w:tc>
          <w:tcPr>
            <w:tcW w:w="1134" w:type="dxa"/>
            <w:tcBorders>
              <w:top w:val="single" w:sz="4" w:space="0" w:color="auto"/>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294</w:t>
            </w:r>
          </w:p>
        </w:tc>
        <w:tc>
          <w:tcPr>
            <w:tcW w:w="1134" w:type="dxa"/>
            <w:tcBorders>
              <w:top w:val="single" w:sz="4" w:space="0" w:color="auto"/>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86.4%</w:t>
            </w:r>
          </w:p>
        </w:tc>
      </w:tr>
      <w:tr w:rsidR="00135F12" w:rsidRPr="005E77C9" w:rsidTr="00135F12">
        <w:trPr>
          <w:gridAfter w:val="4"/>
          <w:wAfter w:w="4396" w:type="dxa"/>
          <w:trHeight w:val="315"/>
        </w:trPr>
        <w:tc>
          <w:tcPr>
            <w:tcW w:w="4641" w:type="dxa"/>
            <w:tcBorders>
              <w:top w:val="single" w:sz="4" w:space="0" w:color="auto"/>
              <w:left w:val="single" w:sz="4" w:space="0" w:color="auto"/>
              <w:bottom w:val="single" w:sz="4" w:space="0" w:color="auto"/>
              <w:right w:val="single" w:sz="4" w:space="0" w:color="auto"/>
            </w:tcBorders>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 xml:space="preserve">Нетен паричен поток от инвестиционна дейност </w:t>
            </w:r>
          </w:p>
        </w:tc>
        <w:tc>
          <w:tcPr>
            <w:tcW w:w="993" w:type="dxa"/>
            <w:tcBorders>
              <w:top w:val="nil"/>
              <w:left w:val="single" w:sz="4" w:space="0" w:color="auto"/>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-411</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-583</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-29.5%</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-63</w:t>
            </w:r>
          </w:p>
        </w:tc>
        <w:tc>
          <w:tcPr>
            <w:tcW w:w="1134" w:type="dxa"/>
            <w:tcBorders>
              <w:top w:val="nil"/>
              <w:left w:val="nil"/>
              <w:bottom w:val="single" w:sz="4" w:space="0" w:color="auto"/>
              <w:right w:val="single" w:sz="8"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552.4%</w:t>
            </w:r>
          </w:p>
        </w:tc>
      </w:tr>
      <w:tr w:rsidR="00135F12" w:rsidRPr="005E77C9" w:rsidTr="00033838">
        <w:trPr>
          <w:gridAfter w:val="4"/>
          <w:wAfter w:w="4396" w:type="dxa"/>
          <w:trHeight w:val="315"/>
        </w:trPr>
        <w:tc>
          <w:tcPr>
            <w:tcW w:w="4641" w:type="dxa"/>
            <w:tcBorders>
              <w:top w:val="single" w:sz="4" w:space="0" w:color="auto"/>
              <w:left w:val="single" w:sz="4" w:space="0" w:color="auto"/>
              <w:bottom w:val="single" w:sz="4" w:space="0" w:color="auto"/>
              <w:right w:val="single" w:sz="4" w:space="0" w:color="auto"/>
            </w:tcBorders>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 xml:space="preserve">Нетен паричен поток от финансова дейност </w:t>
            </w:r>
          </w:p>
        </w:tc>
        <w:tc>
          <w:tcPr>
            <w:tcW w:w="993" w:type="dxa"/>
            <w:tcBorders>
              <w:top w:val="nil"/>
              <w:left w:val="single" w:sz="4" w:space="0" w:color="auto"/>
              <w:bottom w:val="single" w:sz="4" w:space="0" w:color="auto"/>
              <w:right w:val="single" w:sz="4" w:space="0" w:color="auto"/>
            </w:tcBorders>
            <w:shd w:val="clear" w:color="000000" w:fill="FFFFFF"/>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tcPr>
          <w:p w:rsidR="00135F12" w:rsidRPr="00545A61" w:rsidRDefault="00135F12" w:rsidP="00135F12">
            <w:pPr>
              <w:jc w:val="center"/>
              <w:rPr>
                <w:rFonts w:ascii="Arial" w:hAnsi="Arial" w:cs="Arial"/>
                <w:sz w:val="20"/>
                <w:szCs w:val="20"/>
              </w:rPr>
            </w:pPr>
            <w:r w:rsidRPr="00545A61">
              <w:rPr>
                <w:rFonts w:ascii="Arial" w:hAnsi="Arial" w:cs="Arial"/>
                <w:sz w:val="20"/>
                <w:szCs w:val="20"/>
              </w:rPr>
              <w:t>-</w:t>
            </w:r>
          </w:p>
        </w:tc>
        <w:tc>
          <w:tcPr>
            <w:tcW w:w="1134" w:type="dxa"/>
            <w:tcBorders>
              <w:top w:val="nil"/>
              <w:left w:val="nil"/>
              <w:bottom w:val="single" w:sz="4" w:space="0" w:color="auto"/>
              <w:right w:val="single" w:sz="4" w:space="0" w:color="auto"/>
            </w:tcBorders>
            <w:shd w:val="clear" w:color="000000" w:fill="FFFFFF"/>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tcPr>
          <w:p w:rsidR="00135F12" w:rsidRPr="00545A61" w:rsidRDefault="00135F12" w:rsidP="00135F12">
            <w:pPr>
              <w:jc w:val="center"/>
              <w:rPr>
                <w:rFonts w:ascii="Arial" w:hAnsi="Arial" w:cs="Arial"/>
                <w:sz w:val="20"/>
                <w:szCs w:val="20"/>
              </w:rPr>
            </w:pPr>
            <w:r w:rsidRPr="00545A61">
              <w:rPr>
                <w:rFonts w:ascii="Arial" w:hAnsi="Arial" w:cs="Arial"/>
                <w:sz w:val="20"/>
                <w:szCs w:val="20"/>
              </w:rPr>
              <w:t>-</w:t>
            </w:r>
          </w:p>
        </w:tc>
      </w:tr>
      <w:tr w:rsidR="00135F12" w:rsidRPr="005E77C9" w:rsidTr="00364BFE">
        <w:trPr>
          <w:gridAfter w:val="4"/>
          <w:wAfter w:w="4396" w:type="dxa"/>
          <w:trHeight w:val="145"/>
        </w:trPr>
        <w:tc>
          <w:tcPr>
            <w:tcW w:w="4641" w:type="dxa"/>
            <w:tcBorders>
              <w:top w:val="single" w:sz="4" w:space="0" w:color="auto"/>
              <w:left w:val="single" w:sz="4" w:space="0" w:color="auto"/>
              <w:bottom w:val="single" w:sz="4" w:space="0" w:color="auto"/>
              <w:right w:val="nil"/>
            </w:tcBorders>
            <w:shd w:val="clear" w:color="auto" w:fill="C0C0C0"/>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C0C0C0"/>
            <w:vAlign w:val="bottom"/>
          </w:tcPr>
          <w:p w:rsidR="00135F12" w:rsidRPr="00545A61" w:rsidRDefault="00135F12" w:rsidP="00135F12">
            <w:pPr>
              <w:rPr>
                <w:rFonts w:ascii="Arial" w:hAnsi="Arial" w:cs="Arial"/>
                <w:sz w:val="22"/>
                <w:szCs w:val="22"/>
              </w:rPr>
            </w:pPr>
            <w:r w:rsidRPr="00545A61">
              <w:rPr>
                <w:rFonts w:ascii="Arial" w:hAnsi="Arial" w:cs="Arial"/>
                <w:sz w:val="22"/>
                <w:szCs w:val="22"/>
              </w:rPr>
              <w:t> </w:t>
            </w:r>
          </w:p>
        </w:tc>
        <w:tc>
          <w:tcPr>
            <w:tcW w:w="1134" w:type="dxa"/>
            <w:tcBorders>
              <w:top w:val="single" w:sz="4" w:space="0" w:color="auto"/>
              <w:left w:val="nil"/>
              <w:bottom w:val="single" w:sz="4" w:space="0" w:color="auto"/>
              <w:right w:val="nil"/>
            </w:tcBorders>
            <w:shd w:val="clear" w:color="auto" w:fill="C0C0C0"/>
            <w:vAlign w:val="bottom"/>
          </w:tcPr>
          <w:p w:rsidR="00135F12" w:rsidRPr="00545A61" w:rsidRDefault="00135F12" w:rsidP="00135F12">
            <w:pPr>
              <w:rPr>
                <w:rFonts w:ascii="Arial" w:hAnsi="Arial" w:cs="Arial"/>
                <w:sz w:val="22"/>
                <w:szCs w:val="22"/>
              </w:rPr>
            </w:pPr>
            <w:r w:rsidRPr="00545A61">
              <w:rPr>
                <w:rFonts w:ascii="Arial" w:hAnsi="Arial" w:cs="Arial"/>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bottom"/>
          </w:tcPr>
          <w:p w:rsidR="00135F12" w:rsidRPr="00545A61" w:rsidRDefault="00135F12" w:rsidP="00135F12">
            <w:pPr>
              <w:rPr>
                <w:rFonts w:ascii="Arial" w:hAnsi="Arial" w:cs="Arial"/>
                <w:sz w:val="22"/>
                <w:szCs w:val="22"/>
              </w:rPr>
            </w:pPr>
            <w:r w:rsidRPr="00545A61">
              <w:rPr>
                <w:rFonts w:ascii="Arial" w:hAnsi="Arial" w:cs="Arial"/>
                <w:sz w:val="22"/>
                <w:szCs w:val="22"/>
              </w:rPr>
              <w:t> </w:t>
            </w:r>
          </w:p>
        </w:tc>
        <w:tc>
          <w:tcPr>
            <w:tcW w:w="1134" w:type="dxa"/>
            <w:tcBorders>
              <w:top w:val="single" w:sz="4" w:space="0" w:color="auto"/>
              <w:left w:val="nil"/>
              <w:bottom w:val="single" w:sz="4" w:space="0" w:color="auto"/>
              <w:right w:val="nil"/>
            </w:tcBorders>
            <w:shd w:val="clear" w:color="auto" w:fill="C0C0C0"/>
            <w:vAlign w:val="bottom"/>
          </w:tcPr>
          <w:p w:rsidR="00135F12" w:rsidRPr="00545A61" w:rsidRDefault="00135F12" w:rsidP="00135F12">
            <w:pPr>
              <w:rPr>
                <w:rFonts w:ascii="Arial" w:hAnsi="Arial" w:cs="Arial"/>
                <w:sz w:val="22"/>
                <w:szCs w:val="22"/>
              </w:rPr>
            </w:pPr>
            <w:r w:rsidRPr="00545A61">
              <w:rPr>
                <w:rFonts w:ascii="Arial" w:hAnsi="Arial" w:cs="Arial"/>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bottom"/>
          </w:tcPr>
          <w:p w:rsidR="00135F12" w:rsidRPr="00545A61" w:rsidRDefault="00135F12" w:rsidP="00135F12">
            <w:pPr>
              <w:rPr>
                <w:rFonts w:ascii="Arial" w:hAnsi="Arial" w:cs="Arial"/>
                <w:sz w:val="22"/>
                <w:szCs w:val="22"/>
              </w:rPr>
            </w:pPr>
            <w:r w:rsidRPr="00545A61">
              <w:rPr>
                <w:rFonts w:ascii="Arial" w:hAnsi="Arial" w:cs="Arial"/>
                <w:sz w:val="22"/>
                <w:szCs w:val="22"/>
              </w:rPr>
              <w:t> </w:t>
            </w:r>
          </w:p>
        </w:tc>
      </w:tr>
      <w:tr w:rsidR="00135F12" w:rsidRPr="005E77C9" w:rsidTr="00364BFE">
        <w:trPr>
          <w:gridAfter w:val="4"/>
          <w:wAfter w:w="4396" w:type="dxa"/>
          <w:trHeight w:val="172"/>
        </w:trPr>
        <w:tc>
          <w:tcPr>
            <w:tcW w:w="4641" w:type="dxa"/>
            <w:tcBorders>
              <w:top w:val="single" w:sz="4" w:space="0" w:color="auto"/>
              <w:left w:val="single" w:sz="4" w:space="0" w:color="auto"/>
              <w:bottom w:val="single" w:sz="4" w:space="0" w:color="auto"/>
              <w:right w:val="single" w:sz="4" w:space="0" w:color="auto"/>
            </w:tcBorders>
            <w:vAlign w:val="bottom"/>
          </w:tcPr>
          <w:p w:rsidR="00135F12" w:rsidRPr="00545A61" w:rsidRDefault="00135F12" w:rsidP="00135F12">
            <w:pPr>
              <w:rPr>
                <w:rFonts w:ascii="Arial" w:hAnsi="Arial" w:cs="Arial"/>
                <w:i/>
                <w:sz w:val="20"/>
                <w:szCs w:val="20"/>
              </w:rPr>
            </w:pPr>
            <w:r w:rsidRPr="00545A61">
              <w:rPr>
                <w:rFonts w:ascii="Arial" w:hAnsi="Arial" w:cs="Arial"/>
                <w:i/>
                <w:sz w:val="20"/>
                <w:szCs w:val="20"/>
              </w:rPr>
              <w:t>в хил. лева</w:t>
            </w:r>
          </w:p>
        </w:tc>
        <w:tc>
          <w:tcPr>
            <w:tcW w:w="993" w:type="dxa"/>
            <w:tcBorders>
              <w:top w:val="single" w:sz="4" w:space="0" w:color="auto"/>
              <w:left w:val="single" w:sz="4" w:space="0" w:color="auto"/>
              <w:bottom w:val="single" w:sz="4" w:space="0" w:color="auto"/>
              <w:right w:val="single" w:sz="4" w:space="0" w:color="auto"/>
            </w:tcBorders>
            <w:vAlign w:val="center"/>
          </w:tcPr>
          <w:p w:rsidR="00135F12" w:rsidRPr="00545A61" w:rsidRDefault="00135F12" w:rsidP="00135F12">
            <w:pPr>
              <w:jc w:val="center"/>
              <w:rPr>
                <w:rFonts w:ascii="Arial" w:hAnsi="Arial" w:cs="Arial"/>
                <w:sz w:val="22"/>
                <w:szCs w:val="22"/>
                <w:lang w:eastAsia="bg-BG"/>
              </w:rPr>
            </w:pPr>
            <w:r w:rsidRPr="00545A61">
              <w:rPr>
                <w:rFonts w:ascii="Arial" w:hAnsi="Arial" w:cs="Arial"/>
                <w:sz w:val="22"/>
                <w:szCs w:val="22"/>
              </w:rPr>
              <w:t>2019 г.</w:t>
            </w:r>
          </w:p>
        </w:tc>
        <w:tc>
          <w:tcPr>
            <w:tcW w:w="1134" w:type="dxa"/>
            <w:tcBorders>
              <w:top w:val="single" w:sz="4" w:space="0" w:color="auto"/>
              <w:left w:val="single" w:sz="4" w:space="0" w:color="auto"/>
              <w:bottom w:val="single" w:sz="4" w:space="0" w:color="auto"/>
              <w:right w:val="single" w:sz="4" w:space="0" w:color="auto"/>
            </w:tcBorders>
            <w:vAlign w:val="center"/>
          </w:tcPr>
          <w:p w:rsidR="00135F12" w:rsidRPr="00545A61" w:rsidRDefault="00135F12" w:rsidP="00135F12">
            <w:pPr>
              <w:jc w:val="center"/>
              <w:rPr>
                <w:rFonts w:ascii="Arial" w:hAnsi="Arial" w:cs="Arial"/>
                <w:sz w:val="22"/>
                <w:szCs w:val="22"/>
              </w:rPr>
            </w:pPr>
            <w:r w:rsidRPr="00545A61">
              <w:rPr>
                <w:rFonts w:ascii="Arial" w:hAnsi="Arial" w:cs="Arial"/>
                <w:sz w:val="20"/>
                <w:szCs w:val="22"/>
              </w:rPr>
              <w:t>бизнес план</w:t>
            </w:r>
          </w:p>
        </w:tc>
        <w:tc>
          <w:tcPr>
            <w:tcW w:w="1134" w:type="dxa"/>
            <w:tcBorders>
              <w:top w:val="single" w:sz="4" w:space="0" w:color="auto"/>
              <w:left w:val="single" w:sz="4" w:space="0" w:color="auto"/>
              <w:bottom w:val="single" w:sz="4" w:space="0" w:color="auto"/>
              <w:right w:val="single" w:sz="4" w:space="0" w:color="auto"/>
            </w:tcBorders>
            <w:vAlign w:val="center"/>
          </w:tcPr>
          <w:p w:rsidR="00135F12" w:rsidRPr="00545A61" w:rsidRDefault="00135F12" w:rsidP="00135F12">
            <w:pPr>
              <w:jc w:val="center"/>
              <w:rPr>
                <w:rFonts w:ascii="Arial" w:hAnsi="Arial" w:cs="Arial"/>
                <w:sz w:val="22"/>
                <w:szCs w:val="22"/>
              </w:rPr>
            </w:pPr>
            <w:r w:rsidRPr="00545A61">
              <w:rPr>
                <w:rFonts w:ascii="Arial" w:hAnsi="Arial" w:cs="Arial"/>
                <w:sz w:val="22"/>
                <w:szCs w:val="22"/>
              </w:rPr>
              <w:t>1/2 (%)</w:t>
            </w:r>
          </w:p>
        </w:tc>
        <w:tc>
          <w:tcPr>
            <w:tcW w:w="1134" w:type="dxa"/>
            <w:tcBorders>
              <w:top w:val="single" w:sz="4" w:space="0" w:color="auto"/>
              <w:left w:val="single" w:sz="4" w:space="0" w:color="auto"/>
              <w:bottom w:val="single" w:sz="4" w:space="0" w:color="auto"/>
              <w:right w:val="single" w:sz="4" w:space="0" w:color="auto"/>
            </w:tcBorders>
            <w:vAlign w:val="center"/>
          </w:tcPr>
          <w:p w:rsidR="00135F12" w:rsidRPr="00545A61" w:rsidRDefault="00135F12" w:rsidP="00135F12">
            <w:pPr>
              <w:jc w:val="center"/>
              <w:rPr>
                <w:rFonts w:ascii="Arial" w:hAnsi="Arial" w:cs="Arial"/>
                <w:sz w:val="22"/>
                <w:szCs w:val="22"/>
              </w:rPr>
            </w:pPr>
            <w:r w:rsidRPr="00545A61">
              <w:rPr>
                <w:rFonts w:ascii="Arial" w:hAnsi="Arial" w:cs="Arial"/>
                <w:sz w:val="22"/>
                <w:szCs w:val="22"/>
              </w:rPr>
              <w:t>2018 г.</w:t>
            </w:r>
          </w:p>
        </w:tc>
        <w:tc>
          <w:tcPr>
            <w:tcW w:w="1134" w:type="dxa"/>
            <w:tcBorders>
              <w:top w:val="single" w:sz="4" w:space="0" w:color="auto"/>
              <w:left w:val="single" w:sz="4" w:space="0" w:color="auto"/>
              <w:bottom w:val="single" w:sz="4" w:space="0" w:color="auto"/>
              <w:right w:val="single" w:sz="4" w:space="0" w:color="auto"/>
            </w:tcBorders>
            <w:vAlign w:val="center"/>
          </w:tcPr>
          <w:p w:rsidR="00135F12" w:rsidRPr="00545A61" w:rsidRDefault="00135F12" w:rsidP="00135F12">
            <w:pPr>
              <w:jc w:val="center"/>
              <w:rPr>
                <w:rFonts w:ascii="Arial" w:hAnsi="Arial" w:cs="Arial"/>
                <w:sz w:val="22"/>
                <w:szCs w:val="22"/>
              </w:rPr>
            </w:pPr>
            <w:r w:rsidRPr="00545A61">
              <w:rPr>
                <w:rFonts w:ascii="Arial" w:hAnsi="Arial" w:cs="Arial"/>
                <w:sz w:val="22"/>
                <w:szCs w:val="22"/>
              </w:rPr>
              <w:t> 1/3 (%)</w:t>
            </w:r>
          </w:p>
        </w:tc>
      </w:tr>
      <w:tr w:rsidR="00135F12" w:rsidRPr="005E77C9" w:rsidTr="00135F12">
        <w:trPr>
          <w:gridAfter w:val="4"/>
          <w:wAfter w:w="4396" w:type="dxa"/>
          <w:trHeight w:val="330"/>
        </w:trPr>
        <w:tc>
          <w:tcPr>
            <w:tcW w:w="4641" w:type="dxa"/>
            <w:tcBorders>
              <w:top w:val="single" w:sz="4" w:space="0" w:color="auto"/>
              <w:left w:val="single" w:sz="4" w:space="0" w:color="auto"/>
              <w:bottom w:val="single" w:sz="4" w:space="0" w:color="auto"/>
              <w:right w:val="single" w:sz="4" w:space="0" w:color="auto"/>
            </w:tcBorders>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Краткотрайни активи</w:t>
            </w:r>
          </w:p>
        </w:tc>
        <w:tc>
          <w:tcPr>
            <w:tcW w:w="993" w:type="dxa"/>
            <w:tcBorders>
              <w:top w:val="nil"/>
              <w:left w:val="nil"/>
              <w:bottom w:val="nil"/>
              <w:right w:val="nil"/>
            </w:tcBorders>
            <w:shd w:val="clear" w:color="auto" w:fill="auto"/>
            <w:vAlign w:val="bottom"/>
          </w:tcPr>
          <w:p w:rsidR="00135F12" w:rsidRPr="00545A61" w:rsidRDefault="00135F12" w:rsidP="00135F12">
            <w:pPr>
              <w:jc w:val="right"/>
              <w:rPr>
                <w:rFonts w:ascii="Arial" w:hAnsi="Arial" w:cs="Arial"/>
                <w:sz w:val="20"/>
                <w:szCs w:val="20"/>
                <w:lang w:eastAsia="en-US"/>
              </w:rPr>
            </w:pPr>
            <w:r w:rsidRPr="00545A61">
              <w:rPr>
                <w:rFonts w:ascii="Arial" w:hAnsi="Arial" w:cs="Arial"/>
                <w:sz w:val="20"/>
                <w:szCs w:val="20"/>
              </w:rPr>
              <w:t>12 412</w:t>
            </w:r>
          </w:p>
        </w:tc>
        <w:tc>
          <w:tcPr>
            <w:tcW w:w="1134" w:type="dxa"/>
            <w:tcBorders>
              <w:top w:val="nil"/>
              <w:left w:val="single" w:sz="4" w:space="0" w:color="auto"/>
              <w:bottom w:val="nil"/>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12 310</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0.8%</w:t>
            </w:r>
          </w:p>
        </w:tc>
        <w:tc>
          <w:tcPr>
            <w:tcW w:w="1134" w:type="dxa"/>
            <w:tcBorders>
              <w:top w:val="nil"/>
              <w:left w:val="nil"/>
              <w:bottom w:val="nil"/>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12 237</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1.4%</w:t>
            </w:r>
          </w:p>
        </w:tc>
      </w:tr>
      <w:tr w:rsidR="00135F12" w:rsidRPr="005E77C9" w:rsidTr="00135F12">
        <w:trPr>
          <w:gridAfter w:val="4"/>
          <w:wAfter w:w="4396" w:type="dxa"/>
          <w:trHeight w:val="330"/>
        </w:trPr>
        <w:tc>
          <w:tcPr>
            <w:tcW w:w="4641" w:type="dxa"/>
            <w:tcBorders>
              <w:top w:val="single" w:sz="4" w:space="0" w:color="auto"/>
              <w:left w:val="single" w:sz="4" w:space="0" w:color="auto"/>
              <w:bottom w:val="single" w:sz="4" w:space="0" w:color="auto"/>
              <w:right w:val="nil"/>
            </w:tcBorders>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Краткосрочни пасиви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482</w:t>
            </w:r>
          </w:p>
        </w:tc>
        <w:tc>
          <w:tcPr>
            <w:tcW w:w="1134" w:type="dxa"/>
            <w:tcBorders>
              <w:top w:val="single" w:sz="4" w:space="0" w:color="auto"/>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503</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-4.2%</w:t>
            </w:r>
          </w:p>
        </w:tc>
        <w:tc>
          <w:tcPr>
            <w:tcW w:w="1134" w:type="dxa"/>
            <w:tcBorders>
              <w:top w:val="single" w:sz="4" w:space="0" w:color="auto"/>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494</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-2.4%</w:t>
            </w:r>
          </w:p>
        </w:tc>
      </w:tr>
      <w:tr w:rsidR="00135F12" w:rsidRPr="005E77C9" w:rsidTr="00135F12">
        <w:trPr>
          <w:gridAfter w:val="4"/>
          <w:wAfter w:w="4396" w:type="dxa"/>
          <w:trHeight w:val="315"/>
        </w:trPr>
        <w:tc>
          <w:tcPr>
            <w:tcW w:w="4641" w:type="dxa"/>
            <w:tcBorders>
              <w:top w:val="single" w:sz="4" w:space="0" w:color="auto"/>
              <w:left w:val="single" w:sz="4" w:space="0" w:color="auto"/>
              <w:bottom w:val="single" w:sz="4" w:space="0" w:color="auto"/>
              <w:right w:val="single" w:sz="4" w:space="0" w:color="auto"/>
            </w:tcBorders>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Оборотен капитал</w:t>
            </w:r>
          </w:p>
        </w:tc>
        <w:tc>
          <w:tcPr>
            <w:tcW w:w="993" w:type="dxa"/>
            <w:tcBorders>
              <w:top w:val="nil"/>
              <w:left w:val="single" w:sz="4" w:space="0" w:color="auto"/>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11 930</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11 807</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1.0%</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11 743</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1.6%</w:t>
            </w:r>
          </w:p>
        </w:tc>
      </w:tr>
      <w:tr w:rsidR="00135F12" w:rsidRPr="005E77C9" w:rsidTr="00135F12">
        <w:trPr>
          <w:gridAfter w:val="4"/>
          <w:wAfter w:w="4396" w:type="dxa"/>
          <w:trHeight w:val="315"/>
        </w:trPr>
        <w:tc>
          <w:tcPr>
            <w:tcW w:w="4641" w:type="dxa"/>
            <w:tcBorders>
              <w:top w:val="single" w:sz="4" w:space="0" w:color="auto"/>
              <w:left w:val="single" w:sz="4" w:space="0" w:color="auto"/>
              <w:bottom w:val="single" w:sz="4" w:space="0" w:color="auto"/>
              <w:right w:val="nil"/>
            </w:tcBorders>
            <w:vAlign w:val="bottom"/>
          </w:tcPr>
          <w:p w:rsidR="00135F12" w:rsidRPr="00545A61" w:rsidRDefault="00135F12" w:rsidP="00135F12">
            <w:pPr>
              <w:rPr>
                <w:rFonts w:ascii="Arial" w:hAnsi="Arial" w:cs="Arial"/>
                <w:sz w:val="20"/>
                <w:szCs w:val="20"/>
                <w:lang w:eastAsia="bg-BG"/>
              </w:rPr>
            </w:pPr>
            <w:r w:rsidRPr="00545A61">
              <w:rPr>
                <w:rFonts w:ascii="Arial" w:hAnsi="Arial" w:cs="Arial"/>
                <w:sz w:val="20"/>
                <w:szCs w:val="20"/>
              </w:rPr>
              <w:t>Зает (постоянен) капитал</w:t>
            </w:r>
          </w:p>
        </w:tc>
        <w:tc>
          <w:tcPr>
            <w:tcW w:w="993" w:type="dxa"/>
            <w:tcBorders>
              <w:top w:val="nil"/>
              <w:left w:val="single" w:sz="4" w:space="0" w:color="auto"/>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16 909</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16 907</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0.0%</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16 692</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1.3%</w:t>
            </w:r>
          </w:p>
        </w:tc>
      </w:tr>
      <w:tr w:rsidR="00135F12" w:rsidRPr="005E77C9" w:rsidTr="00135F12">
        <w:trPr>
          <w:gridAfter w:val="4"/>
          <w:wAfter w:w="4396" w:type="dxa"/>
          <w:trHeight w:val="315"/>
        </w:trPr>
        <w:tc>
          <w:tcPr>
            <w:tcW w:w="4641" w:type="dxa"/>
            <w:tcBorders>
              <w:top w:val="single" w:sz="4" w:space="0" w:color="auto"/>
              <w:left w:val="single" w:sz="4" w:space="0" w:color="auto"/>
              <w:bottom w:val="single" w:sz="4" w:space="0" w:color="auto"/>
              <w:right w:val="single" w:sz="4" w:space="0" w:color="auto"/>
            </w:tcBorders>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 xml:space="preserve">Текуща ликвидност </w:t>
            </w:r>
          </w:p>
        </w:tc>
        <w:tc>
          <w:tcPr>
            <w:tcW w:w="993" w:type="dxa"/>
            <w:tcBorders>
              <w:top w:val="nil"/>
              <w:left w:val="single" w:sz="4" w:space="0" w:color="auto"/>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25.8</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24.5</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5.3%</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24.8</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4.0%</w:t>
            </w:r>
          </w:p>
        </w:tc>
      </w:tr>
      <w:tr w:rsidR="00135F12" w:rsidRPr="005E77C9" w:rsidTr="00135F12">
        <w:trPr>
          <w:gridAfter w:val="4"/>
          <w:wAfter w:w="4396" w:type="dxa"/>
          <w:trHeight w:val="315"/>
        </w:trPr>
        <w:tc>
          <w:tcPr>
            <w:tcW w:w="4641" w:type="dxa"/>
            <w:tcBorders>
              <w:top w:val="single" w:sz="4" w:space="0" w:color="auto"/>
              <w:left w:val="single" w:sz="4" w:space="0" w:color="auto"/>
              <w:bottom w:val="single" w:sz="4" w:space="0" w:color="auto"/>
              <w:right w:val="nil"/>
            </w:tcBorders>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Дългосрочни пасиви/Сума на активите (%)</w:t>
            </w:r>
          </w:p>
        </w:tc>
        <w:tc>
          <w:tcPr>
            <w:tcW w:w="993" w:type="dxa"/>
            <w:tcBorders>
              <w:top w:val="nil"/>
              <w:left w:val="single" w:sz="4" w:space="0" w:color="auto"/>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1.9%</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2.0%</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-5.0%</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2.0%</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-5.0%</w:t>
            </w:r>
          </w:p>
        </w:tc>
      </w:tr>
      <w:tr w:rsidR="00135F12" w:rsidRPr="005E77C9" w:rsidTr="00364BFE">
        <w:trPr>
          <w:gridAfter w:val="4"/>
          <w:wAfter w:w="4396" w:type="dxa"/>
          <w:trHeight w:val="172"/>
        </w:trPr>
        <w:tc>
          <w:tcPr>
            <w:tcW w:w="4641" w:type="dxa"/>
            <w:tcBorders>
              <w:top w:val="single" w:sz="4" w:space="0" w:color="auto"/>
              <w:left w:val="single" w:sz="4" w:space="0" w:color="auto"/>
              <w:bottom w:val="single" w:sz="4" w:space="0" w:color="auto"/>
              <w:right w:val="nil"/>
            </w:tcBorders>
            <w:shd w:val="clear" w:color="auto" w:fill="C0C0C0"/>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C0C0C0"/>
            <w:vAlign w:val="bottom"/>
          </w:tcPr>
          <w:p w:rsidR="00135F12" w:rsidRPr="00545A61" w:rsidRDefault="00135F12" w:rsidP="00135F12">
            <w:pPr>
              <w:rPr>
                <w:rFonts w:ascii="Arial" w:hAnsi="Arial" w:cs="Arial"/>
                <w:sz w:val="22"/>
                <w:szCs w:val="22"/>
              </w:rPr>
            </w:pPr>
            <w:r w:rsidRPr="00545A61">
              <w:rPr>
                <w:rFonts w:ascii="Arial" w:hAnsi="Arial" w:cs="Arial"/>
                <w:sz w:val="22"/>
                <w:szCs w:val="22"/>
              </w:rPr>
              <w:t> </w:t>
            </w:r>
          </w:p>
        </w:tc>
        <w:tc>
          <w:tcPr>
            <w:tcW w:w="1134" w:type="dxa"/>
            <w:tcBorders>
              <w:top w:val="single" w:sz="4" w:space="0" w:color="auto"/>
              <w:left w:val="nil"/>
              <w:bottom w:val="single" w:sz="4" w:space="0" w:color="auto"/>
              <w:right w:val="nil"/>
            </w:tcBorders>
            <w:shd w:val="clear" w:color="auto" w:fill="C0C0C0"/>
            <w:vAlign w:val="bottom"/>
          </w:tcPr>
          <w:p w:rsidR="00135F12" w:rsidRPr="00545A61" w:rsidRDefault="00135F12" w:rsidP="00135F12">
            <w:pPr>
              <w:rPr>
                <w:rFonts w:ascii="Arial" w:hAnsi="Arial" w:cs="Arial"/>
                <w:sz w:val="22"/>
                <w:szCs w:val="22"/>
              </w:rPr>
            </w:pPr>
            <w:r w:rsidRPr="00545A61">
              <w:rPr>
                <w:rFonts w:ascii="Arial" w:hAnsi="Arial" w:cs="Arial"/>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bottom"/>
          </w:tcPr>
          <w:p w:rsidR="00135F12" w:rsidRPr="00545A61" w:rsidRDefault="00135F12" w:rsidP="00135F12">
            <w:pPr>
              <w:rPr>
                <w:rFonts w:ascii="Arial" w:hAnsi="Arial" w:cs="Arial"/>
                <w:sz w:val="22"/>
                <w:szCs w:val="22"/>
              </w:rPr>
            </w:pPr>
            <w:r w:rsidRPr="00545A61">
              <w:rPr>
                <w:rFonts w:ascii="Arial" w:hAnsi="Arial" w:cs="Arial"/>
                <w:sz w:val="22"/>
                <w:szCs w:val="22"/>
              </w:rPr>
              <w:t> </w:t>
            </w:r>
          </w:p>
        </w:tc>
        <w:tc>
          <w:tcPr>
            <w:tcW w:w="1134" w:type="dxa"/>
            <w:tcBorders>
              <w:top w:val="single" w:sz="4" w:space="0" w:color="auto"/>
              <w:left w:val="nil"/>
              <w:bottom w:val="single" w:sz="4" w:space="0" w:color="auto"/>
              <w:right w:val="nil"/>
            </w:tcBorders>
            <w:shd w:val="clear" w:color="auto" w:fill="C0C0C0"/>
            <w:vAlign w:val="bottom"/>
          </w:tcPr>
          <w:p w:rsidR="00135F12" w:rsidRPr="00545A61" w:rsidRDefault="00135F12" w:rsidP="00135F12">
            <w:pPr>
              <w:rPr>
                <w:rFonts w:ascii="Arial" w:hAnsi="Arial" w:cs="Arial"/>
                <w:sz w:val="22"/>
                <w:szCs w:val="22"/>
              </w:rPr>
            </w:pPr>
            <w:r w:rsidRPr="00545A61">
              <w:rPr>
                <w:rFonts w:ascii="Arial" w:hAnsi="Arial" w:cs="Arial"/>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bottom"/>
          </w:tcPr>
          <w:p w:rsidR="00135F12" w:rsidRPr="00545A61" w:rsidRDefault="00135F12" w:rsidP="00135F12">
            <w:pPr>
              <w:rPr>
                <w:rFonts w:ascii="Arial" w:hAnsi="Arial" w:cs="Arial"/>
                <w:sz w:val="22"/>
                <w:szCs w:val="22"/>
              </w:rPr>
            </w:pPr>
            <w:r w:rsidRPr="00545A61">
              <w:rPr>
                <w:rFonts w:ascii="Arial" w:hAnsi="Arial" w:cs="Arial"/>
                <w:sz w:val="22"/>
                <w:szCs w:val="22"/>
              </w:rPr>
              <w:t> </w:t>
            </w:r>
          </w:p>
        </w:tc>
      </w:tr>
      <w:tr w:rsidR="00135F12" w:rsidRPr="005E77C9" w:rsidTr="00135F12">
        <w:trPr>
          <w:gridAfter w:val="4"/>
          <w:wAfter w:w="4396" w:type="dxa"/>
          <w:trHeight w:val="330"/>
        </w:trPr>
        <w:tc>
          <w:tcPr>
            <w:tcW w:w="4641" w:type="dxa"/>
            <w:tcBorders>
              <w:top w:val="single" w:sz="4" w:space="0" w:color="auto"/>
              <w:left w:val="single" w:sz="4" w:space="0" w:color="auto"/>
              <w:bottom w:val="single" w:sz="4" w:space="0" w:color="auto"/>
              <w:right w:val="single" w:sz="4" w:space="0" w:color="auto"/>
            </w:tcBorders>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Средносписъчен брой на служителите за периода</w:t>
            </w:r>
          </w:p>
        </w:tc>
        <w:tc>
          <w:tcPr>
            <w:tcW w:w="993" w:type="dxa"/>
            <w:tcBorders>
              <w:top w:val="nil"/>
              <w:left w:val="single" w:sz="4" w:space="0" w:color="auto"/>
              <w:bottom w:val="nil"/>
              <w:right w:val="single" w:sz="4" w:space="0" w:color="auto"/>
            </w:tcBorders>
            <w:shd w:val="clear" w:color="auto" w:fill="auto"/>
            <w:vAlign w:val="bottom"/>
          </w:tcPr>
          <w:p w:rsidR="00135F12" w:rsidRPr="00545A61" w:rsidRDefault="00135F12" w:rsidP="00135F12">
            <w:pPr>
              <w:jc w:val="right"/>
              <w:rPr>
                <w:rFonts w:ascii="Arial" w:hAnsi="Arial" w:cs="Arial"/>
                <w:sz w:val="20"/>
                <w:szCs w:val="20"/>
                <w:lang w:eastAsia="en-US"/>
              </w:rPr>
            </w:pPr>
            <w:r w:rsidRPr="00545A61">
              <w:rPr>
                <w:rFonts w:ascii="Arial" w:hAnsi="Arial" w:cs="Arial"/>
                <w:sz w:val="20"/>
                <w:szCs w:val="20"/>
              </w:rPr>
              <w:t>122</w:t>
            </w:r>
          </w:p>
        </w:tc>
        <w:tc>
          <w:tcPr>
            <w:tcW w:w="1134" w:type="dxa"/>
            <w:tcBorders>
              <w:top w:val="nil"/>
              <w:left w:val="nil"/>
              <w:bottom w:val="nil"/>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125</w:t>
            </w:r>
          </w:p>
        </w:tc>
        <w:tc>
          <w:tcPr>
            <w:tcW w:w="1134" w:type="dxa"/>
            <w:tcBorders>
              <w:top w:val="nil"/>
              <w:left w:val="nil"/>
              <w:bottom w:val="nil"/>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-2.4%</w:t>
            </w:r>
          </w:p>
        </w:tc>
        <w:tc>
          <w:tcPr>
            <w:tcW w:w="1134" w:type="dxa"/>
            <w:tcBorders>
              <w:top w:val="nil"/>
              <w:left w:val="nil"/>
              <w:bottom w:val="nil"/>
              <w:right w:val="nil"/>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128</w:t>
            </w:r>
          </w:p>
        </w:tc>
        <w:tc>
          <w:tcPr>
            <w:tcW w:w="1134" w:type="dxa"/>
            <w:tcBorders>
              <w:top w:val="nil"/>
              <w:left w:val="single" w:sz="4" w:space="0" w:color="auto"/>
              <w:bottom w:val="nil"/>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-4.7%</w:t>
            </w:r>
          </w:p>
        </w:tc>
      </w:tr>
      <w:tr w:rsidR="00135F12" w:rsidRPr="005E77C9" w:rsidTr="00033838">
        <w:trPr>
          <w:gridAfter w:val="4"/>
          <w:wAfter w:w="4396" w:type="dxa"/>
          <w:trHeight w:val="315"/>
        </w:trPr>
        <w:tc>
          <w:tcPr>
            <w:tcW w:w="4641" w:type="dxa"/>
            <w:tcBorders>
              <w:top w:val="single" w:sz="4" w:space="0" w:color="auto"/>
              <w:left w:val="single" w:sz="4" w:space="0" w:color="auto"/>
              <w:bottom w:val="single" w:sz="4" w:space="0" w:color="auto"/>
              <w:right w:val="nil"/>
            </w:tcBorders>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Средна работна заплата за периода (в лева)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1 283</w:t>
            </w:r>
          </w:p>
        </w:tc>
        <w:tc>
          <w:tcPr>
            <w:tcW w:w="1134" w:type="dxa"/>
            <w:tcBorders>
              <w:top w:val="single" w:sz="4" w:space="0" w:color="auto"/>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1 144</w:t>
            </w:r>
          </w:p>
        </w:tc>
        <w:tc>
          <w:tcPr>
            <w:tcW w:w="1134" w:type="dxa"/>
            <w:tcBorders>
              <w:top w:val="single" w:sz="4" w:space="0" w:color="auto"/>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12.2%</w:t>
            </w:r>
          </w:p>
        </w:tc>
        <w:tc>
          <w:tcPr>
            <w:tcW w:w="1134" w:type="dxa"/>
            <w:tcBorders>
              <w:top w:val="single" w:sz="4" w:space="0" w:color="auto"/>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1 149</w:t>
            </w:r>
          </w:p>
        </w:tc>
        <w:tc>
          <w:tcPr>
            <w:tcW w:w="1134" w:type="dxa"/>
            <w:tcBorders>
              <w:top w:val="single" w:sz="4" w:space="0" w:color="auto"/>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11.7%</w:t>
            </w:r>
          </w:p>
        </w:tc>
      </w:tr>
      <w:tr w:rsidR="00135F12" w:rsidRPr="005E77C9" w:rsidTr="00033838">
        <w:trPr>
          <w:gridAfter w:val="4"/>
          <w:wAfter w:w="4396" w:type="dxa"/>
          <w:trHeight w:val="315"/>
        </w:trPr>
        <w:tc>
          <w:tcPr>
            <w:tcW w:w="4641" w:type="dxa"/>
            <w:tcBorders>
              <w:top w:val="single" w:sz="4" w:space="0" w:color="auto"/>
              <w:left w:val="single" w:sz="4" w:space="0" w:color="auto"/>
              <w:bottom w:val="single" w:sz="4" w:space="0" w:color="auto"/>
              <w:right w:val="nil"/>
            </w:tcBorders>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Обработени товари (хил. физ. тона)</w:t>
            </w:r>
          </w:p>
        </w:tc>
        <w:tc>
          <w:tcPr>
            <w:tcW w:w="993" w:type="dxa"/>
            <w:tcBorders>
              <w:top w:val="nil"/>
              <w:left w:val="single" w:sz="4" w:space="0" w:color="auto"/>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485</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579</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-16.2%</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604</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-19.7%</w:t>
            </w:r>
          </w:p>
        </w:tc>
      </w:tr>
      <w:tr w:rsidR="00135F12" w:rsidRPr="005E77C9" w:rsidTr="00033838">
        <w:trPr>
          <w:gridAfter w:val="4"/>
          <w:wAfter w:w="4396" w:type="dxa"/>
          <w:trHeight w:val="315"/>
        </w:trPr>
        <w:tc>
          <w:tcPr>
            <w:tcW w:w="4641" w:type="dxa"/>
            <w:tcBorders>
              <w:top w:val="single" w:sz="4" w:space="0" w:color="auto"/>
              <w:left w:val="single" w:sz="4" w:space="0" w:color="auto"/>
              <w:bottom w:val="single" w:sz="4" w:space="0" w:color="auto"/>
              <w:right w:val="nil"/>
            </w:tcBorders>
            <w:vAlign w:val="bottom"/>
          </w:tcPr>
          <w:p w:rsidR="00135F12" w:rsidRPr="00545A61" w:rsidRDefault="00135F12" w:rsidP="00135F12">
            <w:pPr>
              <w:rPr>
                <w:rFonts w:ascii="Arial" w:hAnsi="Arial" w:cs="Arial"/>
                <w:sz w:val="20"/>
                <w:szCs w:val="20"/>
              </w:rPr>
            </w:pPr>
            <w:r w:rsidRPr="00545A61">
              <w:rPr>
                <w:rFonts w:ascii="Arial" w:hAnsi="Arial" w:cs="Arial"/>
                <w:sz w:val="20"/>
                <w:szCs w:val="20"/>
              </w:rPr>
              <w:t>Приходи от продажби на един зает (в лева)</w:t>
            </w:r>
          </w:p>
        </w:tc>
        <w:tc>
          <w:tcPr>
            <w:tcW w:w="993" w:type="dxa"/>
            <w:tcBorders>
              <w:top w:val="nil"/>
              <w:left w:val="single" w:sz="4" w:space="0" w:color="auto"/>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46 295</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42 216</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9.7%</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41 352</w:t>
            </w:r>
          </w:p>
        </w:tc>
        <w:tc>
          <w:tcPr>
            <w:tcW w:w="1134" w:type="dxa"/>
            <w:tcBorders>
              <w:top w:val="nil"/>
              <w:left w:val="nil"/>
              <w:bottom w:val="single" w:sz="4" w:space="0" w:color="auto"/>
              <w:right w:val="single" w:sz="4" w:space="0" w:color="auto"/>
            </w:tcBorders>
            <w:shd w:val="clear" w:color="auto" w:fill="auto"/>
            <w:vAlign w:val="bottom"/>
          </w:tcPr>
          <w:p w:rsidR="00135F12" w:rsidRPr="00545A61" w:rsidRDefault="00135F12" w:rsidP="00135F12">
            <w:pPr>
              <w:jc w:val="right"/>
              <w:rPr>
                <w:rFonts w:ascii="Arial" w:hAnsi="Arial" w:cs="Arial"/>
                <w:sz w:val="20"/>
                <w:szCs w:val="20"/>
              </w:rPr>
            </w:pPr>
            <w:r w:rsidRPr="00545A61">
              <w:rPr>
                <w:rFonts w:ascii="Arial" w:hAnsi="Arial" w:cs="Arial"/>
                <w:sz w:val="20"/>
                <w:szCs w:val="20"/>
              </w:rPr>
              <w:t>12.0%</w:t>
            </w:r>
          </w:p>
        </w:tc>
      </w:tr>
      <w:bookmarkEnd w:id="43"/>
    </w:tbl>
    <w:p w:rsidR="00D35F52" w:rsidRPr="005E77C9" w:rsidRDefault="00D35F52" w:rsidP="004C6778">
      <w:pPr>
        <w:tabs>
          <w:tab w:val="left" w:pos="4680"/>
        </w:tabs>
        <w:spacing w:after="120"/>
        <w:ind w:firstLine="709"/>
        <w:jc w:val="both"/>
        <w:rPr>
          <w:lang w:val="en-US"/>
        </w:rPr>
      </w:pPr>
    </w:p>
    <w:p w:rsidR="004C6778" w:rsidRPr="005E77C9" w:rsidRDefault="004C6778" w:rsidP="004C6778">
      <w:pPr>
        <w:tabs>
          <w:tab w:val="left" w:pos="4680"/>
        </w:tabs>
        <w:spacing w:after="120"/>
        <w:ind w:firstLine="709"/>
        <w:jc w:val="both"/>
      </w:pPr>
      <w:r w:rsidRPr="005E77C9">
        <w:lastRenderedPageBreak/>
        <w:t>За 201</w:t>
      </w:r>
      <w:r w:rsidR="00135F12" w:rsidRPr="005E77C9">
        <w:rPr>
          <w:lang w:val="en-US"/>
        </w:rPr>
        <w:t>9</w:t>
      </w:r>
      <w:r w:rsidRPr="005E77C9">
        <w:t xml:space="preserve"> г. е отчетеното положително изменение на </w:t>
      </w:r>
      <w:r w:rsidRPr="005E77C9">
        <w:rPr>
          <w:i/>
          <w:u w:val="single"/>
        </w:rPr>
        <w:t>паричните наличности</w:t>
      </w:r>
      <w:r w:rsidRPr="005E77C9">
        <w:t xml:space="preserve">  в размер на </w:t>
      </w:r>
      <w:r w:rsidR="00135F12" w:rsidRPr="005E77C9">
        <w:rPr>
          <w:lang w:val="en-US"/>
        </w:rPr>
        <w:t>137</w:t>
      </w:r>
      <w:r w:rsidRPr="005E77C9">
        <w:t xml:space="preserve"> хил.</w:t>
      </w:r>
      <w:r w:rsidR="00BB77A4" w:rsidRPr="005E77C9">
        <w:t xml:space="preserve"> </w:t>
      </w:r>
      <w:r w:rsidRPr="005E77C9">
        <w:t>лв.  (за сравнение 201</w:t>
      </w:r>
      <w:r w:rsidR="00135F12" w:rsidRPr="005E77C9">
        <w:rPr>
          <w:lang w:val="en-US"/>
        </w:rPr>
        <w:t>8</w:t>
      </w:r>
      <w:r w:rsidRPr="005E77C9">
        <w:t xml:space="preserve"> г. завършва с положителен паричен поток от </w:t>
      </w:r>
      <w:r w:rsidR="00135F12" w:rsidRPr="005E77C9">
        <w:rPr>
          <w:lang w:val="en-US"/>
        </w:rPr>
        <w:t>231</w:t>
      </w:r>
      <w:r w:rsidRPr="005E77C9">
        <w:t xml:space="preserve"> хил.</w:t>
      </w:r>
      <w:r w:rsidR="00BB77A4" w:rsidRPr="005E77C9">
        <w:t xml:space="preserve"> </w:t>
      </w:r>
      <w:r w:rsidRPr="005E77C9">
        <w:t>лв</w:t>
      </w:r>
      <w:r w:rsidR="00BB77A4" w:rsidRPr="005E77C9">
        <w:t>.</w:t>
      </w:r>
      <w:r w:rsidRPr="005E77C9">
        <w:t>).</w:t>
      </w:r>
    </w:p>
    <w:p w:rsidR="004C6778" w:rsidRPr="005E77C9" w:rsidRDefault="004C6778" w:rsidP="004C6778">
      <w:pPr>
        <w:pStyle w:val="BodyTextIndent"/>
        <w:numPr>
          <w:ilvl w:val="5"/>
          <w:numId w:val="13"/>
        </w:numPr>
        <w:tabs>
          <w:tab w:val="left" w:pos="1276"/>
        </w:tabs>
        <w:spacing w:after="120"/>
        <w:ind w:left="0" w:firstLine="993"/>
      </w:pPr>
      <w:r w:rsidRPr="005E77C9">
        <w:t xml:space="preserve">В Отчета за паричния поток </w:t>
      </w:r>
      <w:r w:rsidRPr="005E77C9">
        <w:rPr>
          <w:i/>
        </w:rPr>
        <w:t>(по косвения метод)</w:t>
      </w:r>
      <w:r w:rsidRPr="005E77C9">
        <w:t xml:space="preserve"> е отчетен </w:t>
      </w:r>
      <w:r w:rsidRPr="005E77C9">
        <w:rPr>
          <w:i/>
          <w:u w:val="single"/>
        </w:rPr>
        <w:t>паричен поток от основна дейност</w:t>
      </w:r>
      <w:r w:rsidRPr="005E77C9">
        <w:t xml:space="preserve"> от +</w:t>
      </w:r>
      <w:r w:rsidR="00135F12" w:rsidRPr="005E77C9">
        <w:rPr>
          <w:lang w:val="en-US"/>
        </w:rPr>
        <w:t>547</w:t>
      </w:r>
      <w:r w:rsidRPr="005E77C9">
        <w:t xml:space="preserve"> хил.</w:t>
      </w:r>
      <w:r w:rsidR="00BB77A4" w:rsidRPr="005E77C9">
        <w:t xml:space="preserve"> </w:t>
      </w:r>
      <w:r w:rsidRPr="005E77C9">
        <w:t xml:space="preserve">лв. </w:t>
      </w:r>
    </w:p>
    <w:p w:rsidR="004C6778" w:rsidRPr="005E77C9" w:rsidRDefault="004C6778" w:rsidP="004C6778">
      <w:pPr>
        <w:pStyle w:val="BodyTextIndent"/>
        <w:numPr>
          <w:ilvl w:val="5"/>
          <w:numId w:val="13"/>
        </w:numPr>
        <w:tabs>
          <w:tab w:val="left" w:pos="1276"/>
        </w:tabs>
        <w:spacing w:after="120"/>
        <w:ind w:left="0" w:firstLine="993"/>
        <w:rPr>
          <w:lang w:val="ru-RU"/>
        </w:rPr>
      </w:pPr>
      <w:r w:rsidRPr="005E77C9">
        <w:rPr>
          <w:i/>
          <w:u w:val="single"/>
        </w:rPr>
        <w:t>Паричния поток от инвестиционна дейност</w:t>
      </w:r>
      <w:r w:rsidRPr="005E77C9">
        <w:t xml:space="preserve"> за 20</w:t>
      </w:r>
      <w:r w:rsidRPr="005E77C9">
        <w:rPr>
          <w:lang w:val="ru-RU"/>
        </w:rPr>
        <w:t>1</w:t>
      </w:r>
      <w:r w:rsidR="00135F12" w:rsidRPr="005E77C9">
        <w:rPr>
          <w:lang w:val="en-US"/>
        </w:rPr>
        <w:t>9</w:t>
      </w:r>
      <w:r w:rsidRPr="005E77C9">
        <w:t xml:space="preserve"> г. е в размер на -</w:t>
      </w:r>
      <w:r w:rsidR="00135F12" w:rsidRPr="005E77C9">
        <w:rPr>
          <w:lang w:val="en-US"/>
        </w:rPr>
        <w:t>410</w:t>
      </w:r>
      <w:r w:rsidRPr="005E77C9">
        <w:t xml:space="preserve"> хил.</w:t>
      </w:r>
      <w:r w:rsidR="00BB77A4" w:rsidRPr="005E77C9">
        <w:t xml:space="preserve"> </w:t>
      </w:r>
      <w:r w:rsidRPr="005E77C9">
        <w:t xml:space="preserve">лв.  </w:t>
      </w:r>
    </w:p>
    <w:p w:rsidR="00E20C33" w:rsidRPr="005E77C9" w:rsidRDefault="004C6778" w:rsidP="004C6778">
      <w:pPr>
        <w:pStyle w:val="BodyTextIndent"/>
        <w:tabs>
          <w:tab w:val="left" w:pos="1080"/>
        </w:tabs>
        <w:spacing w:after="120"/>
        <w:ind w:firstLine="0"/>
        <w:rPr>
          <w:b/>
        </w:rPr>
      </w:pPr>
      <w:r w:rsidRPr="005E77C9">
        <w:t xml:space="preserve">В дружеството няма отчетен </w:t>
      </w:r>
      <w:r w:rsidRPr="005E77C9">
        <w:rPr>
          <w:i/>
          <w:u w:val="single"/>
        </w:rPr>
        <w:t>Паричен поток от финансова дейност</w:t>
      </w:r>
      <w:r w:rsidRPr="005E77C9">
        <w:t xml:space="preserve"> (съгласно ОПП по косвения метод)</w:t>
      </w:r>
      <w:r w:rsidR="00E20C33" w:rsidRPr="005E77C9">
        <w:rPr>
          <w:b/>
        </w:rPr>
        <w:t>.</w:t>
      </w:r>
    </w:p>
    <w:p w:rsidR="004C6778" w:rsidRPr="003D5468" w:rsidRDefault="004C6778" w:rsidP="004C6778">
      <w:pPr>
        <w:pStyle w:val="BodyTextIndent"/>
        <w:tabs>
          <w:tab w:val="left" w:pos="1080"/>
        </w:tabs>
        <w:spacing w:after="120"/>
        <w:ind w:firstLine="0"/>
      </w:pPr>
      <w:r w:rsidRPr="005E77C9">
        <w:rPr>
          <w:b/>
        </w:rPr>
        <w:tab/>
      </w:r>
      <w:r w:rsidRPr="005E77C9">
        <w:t xml:space="preserve">Стойността на показателя </w:t>
      </w:r>
      <w:r w:rsidRPr="005E77C9">
        <w:rPr>
          <w:u w:val="single"/>
        </w:rPr>
        <w:t>Приходи от продажби на един зает</w:t>
      </w:r>
      <w:r w:rsidRPr="005E77C9">
        <w:t xml:space="preserve"> в лева нараства спрямо 201</w:t>
      </w:r>
      <w:r w:rsidR="00E93408" w:rsidRPr="005E77C9">
        <w:t xml:space="preserve">8 </w:t>
      </w:r>
      <w:r w:rsidRPr="005E77C9">
        <w:t xml:space="preserve">г. с </w:t>
      </w:r>
      <w:r w:rsidR="00E93408" w:rsidRPr="005E77C9">
        <w:t xml:space="preserve">12 </w:t>
      </w:r>
      <w:r w:rsidRPr="005E77C9">
        <w:t>%.</w:t>
      </w:r>
    </w:p>
    <w:p w:rsidR="00B140FA" w:rsidRDefault="004C6778" w:rsidP="00B140FA">
      <w:pPr>
        <w:pStyle w:val="BodyTextIndent"/>
        <w:spacing w:after="120"/>
        <w:ind w:firstLine="0"/>
        <w:jc w:val="center"/>
        <w:rPr>
          <w:b/>
          <w:smallCaps/>
          <w:sz w:val="28"/>
          <w:szCs w:val="28"/>
          <w:lang w:val="en-US"/>
        </w:rPr>
      </w:pPr>
      <w:r w:rsidRPr="005E77C9">
        <w:rPr>
          <w:noProof/>
          <w:lang w:eastAsia="bg-BG"/>
        </w:rPr>
        <w:drawing>
          <wp:inline distT="0" distB="0" distL="0" distR="0" wp14:anchorId="69FADF92" wp14:editId="585FCF56">
            <wp:extent cx="4791075" cy="2447925"/>
            <wp:effectExtent l="0" t="0" r="9525" b="9525"/>
            <wp:docPr id="12" name="Диаграма 12">
              <a:extLst xmlns:a="http://schemas.openxmlformats.org/drawingml/2006/main">
                <a:ext uri="{FF2B5EF4-FFF2-40B4-BE49-F238E27FC236}">
                  <a16:creationId xmlns:a16="http://schemas.microsoft.com/office/drawing/2014/main" id="{D825D01F-5B1B-4CEC-84B7-8CBA8FBD80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140FA" w:rsidRPr="005E77C9" w:rsidRDefault="00BE7AA2" w:rsidP="00DD76F5">
      <w:pPr>
        <w:pStyle w:val="Heading2"/>
        <w:numPr>
          <w:ilvl w:val="1"/>
          <w:numId w:val="2"/>
        </w:numPr>
        <w:tabs>
          <w:tab w:val="num" w:pos="540"/>
        </w:tabs>
        <w:spacing w:before="240" w:after="120"/>
        <w:rPr>
          <w:rFonts w:ascii="Times New Roman" w:hAnsi="Times New Roman"/>
          <w:i/>
          <w:sz w:val="24"/>
          <w:u w:val="single"/>
        </w:rPr>
      </w:pPr>
      <w:bookmarkStart w:id="44" w:name="_Toc288478115"/>
      <w:bookmarkStart w:id="45" w:name="_Toc40777299"/>
      <w:r w:rsidRPr="005E77C9">
        <w:rPr>
          <w:rFonts w:ascii="Times New Roman" w:hAnsi="Times New Roman"/>
          <w:i/>
          <w:sz w:val="24"/>
          <w:u w:val="single"/>
        </w:rPr>
        <w:t>2</w:t>
      </w:r>
      <w:r w:rsidRPr="005E77C9">
        <w:rPr>
          <w:rFonts w:ascii="Times New Roman" w:hAnsi="Times New Roman"/>
          <w:i/>
          <w:smallCaps/>
          <w:sz w:val="24"/>
          <w:u w:val="single"/>
        </w:rPr>
        <w:t xml:space="preserve">) </w:t>
      </w:r>
      <w:r w:rsidR="00F615E0" w:rsidRPr="005E77C9">
        <w:rPr>
          <w:rFonts w:ascii="Times New Roman" w:hAnsi="Times New Roman"/>
          <w:i/>
          <w:smallCaps/>
          <w:sz w:val="24"/>
          <w:u w:val="single"/>
        </w:rPr>
        <w:t>Финансови коефициенти</w:t>
      </w:r>
      <w:bookmarkEnd w:id="44"/>
      <w:bookmarkEnd w:id="45"/>
      <w:r w:rsidR="00B140FA" w:rsidRPr="005E77C9">
        <w:t xml:space="preserve"> </w:t>
      </w:r>
    </w:p>
    <w:p w:rsidR="00FB42B8" w:rsidRPr="00C4776F" w:rsidRDefault="00B97C1A" w:rsidP="00C4776F">
      <w:pPr>
        <w:pStyle w:val="ListParagraph"/>
        <w:numPr>
          <w:ilvl w:val="0"/>
          <w:numId w:val="27"/>
        </w:numPr>
        <w:spacing w:before="240" w:after="120"/>
        <w:ind w:left="0" w:firstLine="709"/>
        <w:jc w:val="both"/>
        <w:rPr>
          <w:bCs/>
        </w:rPr>
      </w:pPr>
      <w:r w:rsidRPr="00685C28">
        <w:rPr>
          <w:bCs/>
          <w:i/>
          <w:iCs/>
          <w:u w:val="single"/>
        </w:rPr>
        <w:t>Като обобщаващ показател, рентабилността</w:t>
      </w:r>
      <w:r w:rsidRPr="00C4776F">
        <w:rPr>
          <w:bCs/>
        </w:rPr>
        <w:t xml:space="preserve"> отразява цялостната ефективност от дейността на фирмата. </w:t>
      </w:r>
      <w:r w:rsidR="00247B41" w:rsidRPr="00C4776F">
        <w:rPr>
          <w:bCs/>
        </w:rPr>
        <w:t xml:space="preserve">Показателите за рентабилност </w:t>
      </w:r>
      <w:r w:rsidR="00467CF6" w:rsidRPr="00C4776F">
        <w:rPr>
          <w:bCs/>
        </w:rPr>
        <w:t>отчитат динамиката на различните компоненти на приходите и разходите на дружеството</w:t>
      </w:r>
      <w:r w:rsidR="00365A8E" w:rsidRPr="00C4776F">
        <w:rPr>
          <w:bCs/>
        </w:rPr>
        <w:t xml:space="preserve">. </w:t>
      </w:r>
      <w:r w:rsidR="00FB42B8" w:rsidRPr="00C4776F">
        <w:rPr>
          <w:bCs/>
        </w:rPr>
        <w:t>Видно е, че за 201</w:t>
      </w:r>
      <w:r w:rsidR="00C565C6" w:rsidRPr="00C4776F">
        <w:rPr>
          <w:bCs/>
        </w:rPr>
        <w:t>9</w:t>
      </w:r>
      <w:r w:rsidR="00FB42B8" w:rsidRPr="00C4776F">
        <w:rPr>
          <w:bCs/>
        </w:rPr>
        <w:t xml:space="preserve">г. стойностите на основните коефициенти на рентабилност </w:t>
      </w:r>
      <w:r w:rsidR="00A6505E" w:rsidRPr="00C4776F">
        <w:rPr>
          <w:bCs/>
        </w:rPr>
        <w:t xml:space="preserve">се запазват </w:t>
      </w:r>
      <w:r w:rsidR="00C565C6" w:rsidRPr="00C4776F">
        <w:rPr>
          <w:bCs/>
        </w:rPr>
        <w:t>или минимално намаляват</w:t>
      </w:r>
      <w:r w:rsidR="00A6505E" w:rsidRPr="00C4776F">
        <w:rPr>
          <w:bCs/>
        </w:rPr>
        <w:t xml:space="preserve"> своите стойности</w:t>
      </w:r>
      <w:r w:rsidR="00FB42B8" w:rsidRPr="00C4776F">
        <w:rPr>
          <w:bCs/>
        </w:rPr>
        <w:t>.</w:t>
      </w:r>
      <w:r w:rsidR="00B762F8" w:rsidRPr="00C4776F">
        <w:rPr>
          <w:bCs/>
        </w:rPr>
        <w:t xml:space="preserve"> </w:t>
      </w:r>
      <w:bookmarkStart w:id="46" w:name="_Hlk507069300"/>
      <w:r w:rsidR="00A6505E" w:rsidRPr="00C4776F">
        <w:rPr>
          <w:bCs/>
        </w:rPr>
        <w:t>Това се дължи на факта, че и през двете години стойностите на печалбата и приходите са близки по размер</w:t>
      </w:r>
      <w:bookmarkEnd w:id="46"/>
      <w:r w:rsidR="00A6505E" w:rsidRPr="00C4776F">
        <w:rPr>
          <w:bCs/>
        </w:rPr>
        <w:t>и</w:t>
      </w:r>
      <w:r w:rsidR="00C565C6" w:rsidRPr="00C4776F">
        <w:rPr>
          <w:bCs/>
        </w:rPr>
        <w:t>.</w:t>
      </w:r>
    </w:p>
    <w:tbl>
      <w:tblPr>
        <w:tblStyle w:val="TableContemporary"/>
        <w:tblW w:w="9697" w:type="dxa"/>
        <w:tblLook w:val="0000" w:firstRow="0" w:lastRow="0" w:firstColumn="0" w:lastColumn="0" w:noHBand="0" w:noVBand="0"/>
      </w:tblPr>
      <w:tblGrid>
        <w:gridCol w:w="3402"/>
        <w:gridCol w:w="3402"/>
        <w:gridCol w:w="895"/>
        <w:gridCol w:w="1098"/>
        <w:gridCol w:w="900"/>
      </w:tblGrid>
      <w:tr w:rsidR="003777D2" w:rsidRPr="005E77C9" w:rsidTr="00207A76">
        <w:trPr>
          <w:cnfStyle w:val="000000100000" w:firstRow="0" w:lastRow="0" w:firstColumn="0" w:lastColumn="0" w:oddVBand="0" w:evenVBand="0" w:oddHBand="1" w:evenHBand="0" w:firstRowFirstColumn="0" w:firstRowLastColumn="0" w:lastRowFirstColumn="0" w:lastRowLastColumn="0"/>
          <w:trHeight w:val="499"/>
        </w:trPr>
        <w:tc>
          <w:tcPr>
            <w:tcW w:w="3402" w:type="dxa"/>
            <w:shd w:val="clear" w:color="auto" w:fill="BFBFBF" w:themeFill="background1" w:themeFillShade="BF"/>
            <w:vAlign w:val="center"/>
          </w:tcPr>
          <w:p w:rsidR="003777D2" w:rsidRPr="005E77C9" w:rsidRDefault="003777D2" w:rsidP="007E25B8">
            <w:pPr>
              <w:jc w:val="center"/>
              <w:rPr>
                <w:rFonts w:ascii="Arial" w:hAnsi="Arial" w:cs="Arial"/>
                <w:b/>
                <w:bCs/>
                <w:sz w:val="20"/>
                <w:szCs w:val="20"/>
              </w:rPr>
            </w:pPr>
            <w:bookmarkStart w:id="47" w:name="_Toc225071145"/>
            <w:r w:rsidRPr="005E77C9">
              <w:rPr>
                <w:rFonts w:ascii="Arial" w:hAnsi="Arial" w:cs="Arial"/>
                <w:b/>
                <w:bCs/>
                <w:sz w:val="20"/>
                <w:szCs w:val="20"/>
              </w:rPr>
              <w:t>Показатели /Финансови коефициенти:</w:t>
            </w:r>
          </w:p>
        </w:tc>
        <w:tc>
          <w:tcPr>
            <w:tcW w:w="3402" w:type="dxa"/>
            <w:vMerge w:val="restart"/>
            <w:shd w:val="clear" w:color="auto" w:fill="BFBFBF" w:themeFill="background1" w:themeFillShade="BF"/>
            <w:noWrap/>
            <w:vAlign w:val="center"/>
          </w:tcPr>
          <w:p w:rsidR="003777D2" w:rsidRPr="005E77C9" w:rsidRDefault="003777D2" w:rsidP="007E25B8">
            <w:pPr>
              <w:jc w:val="center"/>
              <w:rPr>
                <w:rFonts w:ascii="Arial" w:hAnsi="Arial" w:cs="Arial"/>
                <w:b/>
                <w:bCs/>
                <w:sz w:val="20"/>
                <w:szCs w:val="20"/>
              </w:rPr>
            </w:pPr>
            <w:r w:rsidRPr="005E77C9">
              <w:rPr>
                <w:rFonts w:ascii="Arial" w:hAnsi="Arial" w:cs="Arial"/>
                <w:b/>
                <w:bCs/>
                <w:sz w:val="20"/>
                <w:szCs w:val="20"/>
              </w:rPr>
              <w:t>Формула</w:t>
            </w:r>
          </w:p>
        </w:tc>
        <w:tc>
          <w:tcPr>
            <w:tcW w:w="895" w:type="dxa"/>
            <w:vMerge w:val="restart"/>
            <w:shd w:val="clear" w:color="auto" w:fill="BFBFBF" w:themeFill="background1" w:themeFillShade="BF"/>
            <w:noWrap/>
            <w:vAlign w:val="center"/>
          </w:tcPr>
          <w:p w:rsidR="003777D2" w:rsidRPr="005E77C9" w:rsidRDefault="003777D2" w:rsidP="00A6505E">
            <w:pPr>
              <w:jc w:val="center"/>
              <w:rPr>
                <w:rFonts w:ascii="Arial" w:hAnsi="Arial" w:cs="Arial"/>
                <w:b/>
                <w:bCs/>
                <w:sz w:val="20"/>
                <w:szCs w:val="20"/>
              </w:rPr>
            </w:pPr>
            <w:r w:rsidRPr="005E77C9">
              <w:rPr>
                <w:rFonts w:ascii="Arial" w:hAnsi="Arial" w:cs="Arial"/>
                <w:b/>
                <w:bCs/>
                <w:sz w:val="20"/>
                <w:szCs w:val="20"/>
              </w:rPr>
              <w:t>201</w:t>
            </w:r>
            <w:r w:rsidR="000C59F7" w:rsidRPr="005E77C9">
              <w:rPr>
                <w:rFonts w:ascii="Arial" w:hAnsi="Arial" w:cs="Arial"/>
                <w:b/>
                <w:bCs/>
                <w:sz w:val="20"/>
                <w:szCs w:val="20"/>
              </w:rPr>
              <w:t>9</w:t>
            </w:r>
            <w:r w:rsidRPr="005E77C9">
              <w:rPr>
                <w:rFonts w:ascii="Arial" w:hAnsi="Arial" w:cs="Arial"/>
                <w:b/>
                <w:bCs/>
                <w:sz w:val="20"/>
                <w:szCs w:val="20"/>
              </w:rPr>
              <w:t>г.</w:t>
            </w:r>
          </w:p>
        </w:tc>
        <w:tc>
          <w:tcPr>
            <w:tcW w:w="1098" w:type="dxa"/>
            <w:vMerge w:val="restart"/>
            <w:shd w:val="clear" w:color="auto" w:fill="BFBFBF" w:themeFill="background1" w:themeFillShade="BF"/>
            <w:noWrap/>
            <w:vAlign w:val="center"/>
          </w:tcPr>
          <w:p w:rsidR="003777D2" w:rsidRPr="005E77C9" w:rsidRDefault="003777D2" w:rsidP="007E25B8">
            <w:pPr>
              <w:jc w:val="center"/>
              <w:rPr>
                <w:rFonts w:ascii="Arial" w:hAnsi="Arial" w:cs="Arial"/>
                <w:b/>
                <w:bCs/>
                <w:sz w:val="20"/>
                <w:szCs w:val="20"/>
              </w:rPr>
            </w:pPr>
            <w:r w:rsidRPr="005E77C9">
              <w:rPr>
                <w:rFonts w:ascii="Arial" w:hAnsi="Arial" w:cs="Arial"/>
                <w:b/>
                <w:bCs/>
                <w:sz w:val="20"/>
                <w:szCs w:val="20"/>
              </w:rPr>
              <w:t>БП</w:t>
            </w:r>
          </w:p>
          <w:p w:rsidR="003777D2" w:rsidRPr="005E77C9" w:rsidRDefault="003777D2" w:rsidP="00A6505E">
            <w:pPr>
              <w:jc w:val="center"/>
              <w:rPr>
                <w:rFonts w:ascii="Arial" w:hAnsi="Arial" w:cs="Arial"/>
                <w:b/>
                <w:bCs/>
                <w:sz w:val="20"/>
                <w:szCs w:val="20"/>
                <w:lang w:val="en-US"/>
              </w:rPr>
            </w:pPr>
            <w:r w:rsidRPr="005E77C9">
              <w:rPr>
                <w:rFonts w:ascii="Arial" w:hAnsi="Arial" w:cs="Arial"/>
                <w:b/>
                <w:bCs/>
                <w:sz w:val="20"/>
                <w:szCs w:val="20"/>
              </w:rPr>
              <w:t>201</w:t>
            </w:r>
            <w:r w:rsidR="000C59F7" w:rsidRPr="005E77C9">
              <w:rPr>
                <w:rFonts w:ascii="Arial" w:hAnsi="Arial" w:cs="Arial"/>
                <w:b/>
                <w:bCs/>
                <w:sz w:val="20"/>
                <w:szCs w:val="20"/>
              </w:rPr>
              <w:t>9</w:t>
            </w:r>
          </w:p>
        </w:tc>
        <w:tc>
          <w:tcPr>
            <w:tcW w:w="900" w:type="dxa"/>
            <w:vMerge w:val="restart"/>
            <w:shd w:val="clear" w:color="auto" w:fill="BFBFBF" w:themeFill="background1" w:themeFillShade="BF"/>
            <w:noWrap/>
            <w:vAlign w:val="center"/>
          </w:tcPr>
          <w:p w:rsidR="003777D2" w:rsidRPr="005E77C9" w:rsidRDefault="003777D2" w:rsidP="007E25B8">
            <w:pPr>
              <w:jc w:val="center"/>
              <w:rPr>
                <w:rFonts w:ascii="Arial" w:hAnsi="Arial" w:cs="Arial"/>
                <w:b/>
                <w:bCs/>
                <w:sz w:val="20"/>
                <w:szCs w:val="20"/>
              </w:rPr>
            </w:pPr>
            <w:r w:rsidRPr="005E77C9">
              <w:rPr>
                <w:rFonts w:ascii="Arial" w:hAnsi="Arial" w:cs="Arial"/>
                <w:b/>
                <w:bCs/>
                <w:sz w:val="20"/>
                <w:szCs w:val="20"/>
              </w:rPr>
              <w:t>201</w:t>
            </w:r>
            <w:r w:rsidR="000C59F7" w:rsidRPr="005E77C9">
              <w:rPr>
                <w:rFonts w:ascii="Arial" w:hAnsi="Arial" w:cs="Arial"/>
                <w:b/>
                <w:bCs/>
                <w:sz w:val="20"/>
                <w:szCs w:val="20"/>
              </w:rPr>
              <w:t>8</w:t>
            </w:r>
            <w:r w:rsidRPr="005E77C9">
              <w:rPr>
                <w:rFonts w:ascii="Arial" w:hAnsi="Arial" w:cs="Arial"/>
                <w:b/>
                <w:bCs/>
                <w:sz w:val="20"/>
                <w:szCs w:val="20"/>
              </w:rPr>
              <w:t>г.</w:t>
            </w:r>
          </w:p>
        </w:tc>
      </w:tr>
      <w:tr w:rsidR="003777D2" w:rsidRPr="005E77C9" w:rsidTr="00207A76">
        <w:trPr>
          <w:cnfStyle w:val="000000010000" w:firstRow="0" w:lastRow="0" w:firstColumn="0" w:lastColumn="0" w:oddVBand="0" w:evenVBand="0" w:oddHBand="0" w:evenHBand="1" w:firstRowFirstColumn="0" w:firstRowLastColumn="0" w:lastRowFirstColumn="0" w:lastRowLastColumn="0"/>
          <w:trHeight w:val="355"/>
        </w:trPr>
        <w:tc>
          <w:tcPr>
            <w:tcW w:w="3402" w:type="dxa"/>
            <w:shd w:val="clear" w:color="auto" w:fill="BFBFBF" w:themeFill="background1" w:themeFillShade="BF"/>
            <w:noWrap/>
            <w:vAlign w:val="center"/>
          </w:tcPr>
          <w:p w:rsidR="003777D2" w:rsidRPr="005E77C9" w:rsidRDefault="003777D2" w:rsidP="003777D2">
            <w:pPr>
              <w:jc w:val="center"/>
              <w:rPr>
                <w:rFonts w:ascii="Arial" w:hAnsi="Arial" w:cs="Arial"/>
                <w:b/>
                <w:bCs/>
                <w:i/>
                <w:iCs/>
                <w:sz w:val="20"/>
                <w:szCs w:val="20"/>
                <w:u w:val="single"/>
              </w:rPr>
            </w:pPr>
            <w:r w:rsidRPr="005E77C9">
              <w:rPr>
                <w:rFonts w:ascii="Arial" w:hAnsi="Arial" w:cs="Arial"/>
                <w:b/>
                <w:bCs/>
                <w:i/>
                <w:iCs/>
                <w:sz w:val="20"/>
                <w:szCs w:val="20"/>
                <w:u w:val="single"/>
              </w:rPr>
              <w:t>Проценти на рентабилност:</w:t>
            </w:r>
          </w:p>
        </w:tc>
        <w:tc>
          <w:tcPr>
            <w:tcW w:w="3402" w:type="dxa"/>
            <w:vMerge/>
            <w:shd w:val="clear" w:color="auto" w:fill="BFBFBF" w:themeFill="background1" w:themeFillShade="BF"/>
            <w:noWrap/>
          </w:tcPr>
          <w:p w:rsidR="003777D2" w:rsidRPr="005E77C9" w:rsidRDefault="003777D2">
            <w:pPr>
              <w:rPr>
                <w:rFonts w:ascii="Arial" w:hAnsi="Arial" w:cs="Arial"/>
                <w:b/>
                <w:bCs/>
                <w:i/>
                <w:iCs/>
                <w:sz w:val="20"/>
                <w:szCs w:val="20"/>
                <w:u w:val="single"/>
              </w:rPr>
            </w:pPr>
          </w:p>
        </w:tc>
        <w:tc>
          <w:tcPr>
            <w:tcW w:w="895" w:type="dxa"/>
            <w:vMerge/>
            <w:shd w:val="clear" w:color="auto" w:fill="BFBFBF" w:themeFill="background1" w:themeFillShade="BF"/>
            <w:noWrap/>
          </w:tcPr>
          <w:p w:rsidR="003777D2" w:rsidRPr="005E77C9" w:rsidRDefault="003777D2">
            <w:pPr>
              <w:rPr>
                <w:rFonts w:ascii="Arial" w:hAnsi="Arial" w:cs="Arial"/>
                <w:b/>
                <w:bCs/>
                <w:i/>
                <w:iCs/>
                <w:sz w:val="20"/>
                <w:szCs w:val="20"/>
                <w:u w:val="single"/>
              </w:rPr>
            </w:pPr>
          </w:p>
        </w:tc>
        <w:tc>
          <w:tcPr>
            <w:tcW w:w="1098" w:type="dxa"/>
            <w:vMerge/>
            <w:shd w:val="clear" w:color="auto" w:fill="BFBFBF" w:themeFill="background1" w:themeFillShade="BF"/>
            <w:noWrap/>
          </w:tcPr>
          <w:p w:rsidR="003777D2" w:rsidRPr="005E77C9" w:rsidRDefault="003777D2">
            <w:pPr>
              <w:rPr>
                <w:rFonts w:ascii="Arial" w:hAnsi="Arial" w:cs="Arial"/>
                <w:b/>
                <w:bCs/>
                <w:i/>
                <w:iCs/>
                <w:sz w:val="20"/>
                <w:szCs w:val="20"/>
                <w:u w:val="single"/>
              </w:rPr>
            </w:pPr>
          </w:p>
        </w:tc>
        <w:tc>
          <w:tcPr>
            <w:tcW w:w="900" w:type="dxa"/>
            <w:vMerge/>
            <w:shd w:val="clear" w:color="auto" w:fill="BFBFBF" w:themeFill="background1" w:themeFillShade="BF"/>
            <w:noWrap/>
          </w:tcPr>
          <w:p w:rsidR="003777D2" w:rsidRPr="005E77C9" w:rsidRDefault="003777D2">
            <w:pPr>
              <w:rPr>
                <w:rFonts w:ascii="Arial" w:hAnsi="Arial" w:cs="Arial"/>
                <w:b/>
                <w:bCs/>
                <w:i/>
                <w:iCs/>
                <w:sz w:val="20"/>
                <w:szCs w:val="20"/>
                <w:u w:val="single"/>
              </w:rPr>
            </w:pPr>
          </w:p>
        </w:tc>
      </w:tr>
      <w:tr w:rsidR="003777D2" w:rsidRPr="005E77C9" w:rsidTr="00207A76">
        <w:trPr>
          <w:cnfStyle w:val="000000100000" w:firstRow="0" w:lastRow="0" w:firstColumn="0" w:lastColumn="0" w:oddVBand="0" w:evenVBand="0" w:oddHBand="1" w:evenHBand="0" w:firstRowFirstColumn="0" w:firstRowLastColumn="0" w:lastRowFirstColumn="0" w:lastRowLastColumn="0"/>
          <w:trHeight w:val="390"/>
        </w:trPr>
        <w:tc>
          <w:tcPr>
            <w:tcW w:w="3402" w:type="dxa"/>
            <w:vMerge w:val="restart"/>
            <w:shd w:val="clear" w:color="auto" w:fill="D9D9D9" w:themeFill="background1" w:themeFillShade="D9"/>
            <w:vAlign w:val="center"/>
          </w:tcPr>
          <w:p w:rsidR="003777D2" w:rsidRPr="005E77C9" w:rsidRDefault="003777D2" w:rsidP="003D0207">
            <w:pPr>
              <w:rPr>
                <w:rFonts w:ascii="Arial" w:hAnsi="Arial" w:cs="Arial"/>
                <w:sz w:val="20"/>
                <w:szCs w:val="20"/>
              </w:rPr>
            </w:pPr>
            <w:r w:rsidRPr="005E77C9">
              <w:rPr>
                <w:rFonts w:ascii="Arial" w:hAnsi="Arial" w:cs="Arial"/>
                <w:sz w:val="20"/>
                <w:szCs w:val="20"/>
              </w:rPr>
              <w:t>1. На печалбата преди лихви и данъци</w:t>
            </w:r>
          </w:p>
        </w:tc>
        <w:tc>
          <w:tcPr>
            <w:tcW w:w="3402" w:type="dxa"/>
            <w:shd w:val="clear" w:color="auto" w:fill="D9D9D9" w:themeFill="background1" w:themeFillShade="D9"/>
            <w:noWrap/>
            <w:vAlign w:val="bottom"/>
          </w:tcPr>
          <w:p w:rsidR="003777D2" w:rsidRPr="005E77C9" w:rsidRDefault="003777D2" w:rsidP="007E25B8">
            <w:pPr>
              <w:jc w:val="center"/>
              <w:rPr>
                <w:rFonts w:ascii="Arial" w:hAnsi="Arial" w:cs="Arial"/>
                <w:sz w:val="20"/>
                <w:szCs w:val="20"/>
              </w:rPr>
            </w:pPr>
            <w:r w:rsidRPr="005E77C9">
              <w:rPr>
                <w:rFonts w:ascii="Arial" w:hAnsi="Arial" w:cs="Arial"/>
                <w:sz w:val="20"/>
                <w:szCs w:val="20"/>
              </w:rPr>
              <w:t>Печ. преди лихви и данъци (EBIT)</w:t>
            </w:r>
          </w:p>
        </w:tc>
        <w:tc>
          <w:tcPr>
            <w:tcW w:w="895" w:type="dxa"/>
            <w:vMerge w:val="restart"/>
            <w:shd w:val="clear" w:color="auto" w:fill="D9D9D9" w:themeFill="background1" w:themeFillShade="D9"/>
            <w:noWrap/>
            <w:vAlign w:val="center"/>
          </w:tcPr>
          <w:p w:rsidR="003777D2" w:rsidRPr="005E77C9" w:rsidRDefault="000C59F7" w:rsidP="00A6505E">
            <w:pPr>
              <w:jc w:val="right"/>
              <w:rPr>
                <w:rFonts w:ascii="Arial" w:hAnsi="Arial" w:cs="Arial"/>
                <w:sz w:val="20"/>
                <w:szCs w:val="20"/>
                <w:lang w:eastAsia="bg-BG"/>
              </w:rPr>
            </w:pPr>
            <w:r w:rsidRPr="005E77C9">
              <w:rPr>
                <w:rFonts w:ascii="Arial" w:hAnsi="Arial" w:cs="Arial"/>
                <w:sz w:val="20"/>
                <w:szCs w:val="20"/>
              </w:rPr>
              <w:t>10.62%</w:t>
            </w:r>
          </w:p>
        </w:tc>
        <w:tc>
          <w:tcPr>
            <w:tcW w:w="1098" w:type="dxa"/>
            <w:vMerge w:val="restart"/>
            <w:shd w:val="clear" w:color="auto" w:fill="D9D9D9" w:themeFill="background1" w:themeFillShade="D9"/>
            <w:noWrap/>
            <w:vAlign w:val="center"/>
          </w:tcPr>
          <w:p w:rsidR="003777D2" w:rsidRPr="005E77C9" w:rsidRDefault="00A6505E" w:rsidP="00A6505E">
            <w:pPr>
              <w:jc w:val="right"/>
              <w:rPr>
                <w:rFonts w:ascii="Arial" w:hAnsi="Arial" w:cs="Arial"/>
                <w:sz w:val="20"/>
                <w:szCs w:val="20"/>
              </w:rPr>
            </w:pPr>
            <w:r w:rsidRPr="005E77C9">
              <w:rPr>
                <w:rFonts w:ascii="Arial" w:hAnsi="Arial" w:cs="Arial"/>
                <w:sz w:val="20"/>
                <w:szCs w:val="20"/>
              </w:rPr>
              <w:t>10</w:t>
            </w:r>
            <w:r w:rsidR="003777D2" w:rsidRPr="005E77C9">
              <w:rPr>
                <w:rFonts w:ascii="Arial" w:hAnsi="Arial" w:cs="Arial"/>
                <w:sz w:val="20"/>
                <w:szCs w:val="20"/>
              </w:rPr>
              <w:t>.</w:t>
            </w:r>
            <w:r w:rsidR="000C59F7" w:rsidRPr="005E77C9">
              <w:rPr>
                <w:rFonts w:ascii="Arial" w:hAnsi="Arial" w:cs="Arial"/>
                <w:sz w:val="20"/>
                <w:szCs w:val="20"/>
              </w:rPr>
              <w:t>39</w:t>
            </w:r>
            <w:r w:rsidR="003777D2" w:rsidRPr="005E77C9">
              <w:rPr>
                <w:rFonts w:ascii="Arial" w:hAnsi="Arial" w:cs="Arial"/>
                <w:sz w:val="20"/>
                <w:szCs w:val="20"/>
              </w:rPr>
              <w:t>%</w:t>
            </w:r>
          </w:p>
        </w:tc>
        <w:tc>
          <w:tcPr>
            <w:tcW w:w="900" w:type="dxa"/>
            <w:vMerge w:val="restart"/>
            <w:shd w:val="clear" w:color="auto" w:fill="D9D9D9" w:themeFill="background1" w:themeFillShade="D9"/>
            <w:noWrap/>
            <w:vAlign w:val="center"/>
          </w:tcPr>
          <w:p w:rsidR="003777D2" w:rsidRPr="005E77C9" w:rsidRDefault="003777D2" w:rsidP="00A6505E">
            <w:pPr>
              <w:jc w:val="right"/>
              <w:rPr>
                <w:rFonts w:ascii="Arial" w:hAnsi="Arial" w:cs="Arial"/>
                <w:sz w:val="20"/>
                <w:szCs w:val="20"/>
              </w:rPr>
            </w:pPr>
            <w:r w:rsidRPr="005E77C9">
              <w:rPr>
                <w:rFonts w:ascii="Arial" w:hAnsi="Arial" w:cs="Arial"/>
                <w:sz w:val="20"/>
                <w:szCs w:val="20"/>
              </w:rPr>
              <w:t>11.6</w:t>
            </w:r>
            <w:r w:rsidR="000C59F7" w:rsidRPr="005E77C9">
              <w:rPr>
                <w:rFonts w:ascii="Arial" w:hAnsi="Arial" w:cs="Arial"/>
                <w:sz w:val="20"/>
                <w:szCs w:val="20"/>
              </w:rPr>
              <w:t>1</w:t>
            </w:r>
            <w:r w:rsidRPr="005E77C9">
              <w:rPr>
                <w:rFonts w:ascii="Arial" w:hAnsi="Arial" w:cs="Arial"/>
                <w:sz w:val="20"/>
                <w:szCs w:val="20"/>
              </w:rPr>
              <w:t>%</w:t>
            </w:r>
          </w:p>
        </w:tc>
      </w:tr>
      <w:tr w:rsidR="003777D2" w:rsidRPr="005E77C9" w:rsidTr="00207A76">
        <w:trPr>
          <w:cnfStyle w:val="000000010000" w:firstRow="0" w:lastRow="0" w:firstColumn="0" w:lastColumn="0" w:oddVBand="0" w:evenVBand="0" w:oddHBand="0" w:evenHBand="1" w:firstRowFirstColumn="0" w:firstRowLastColumn="0" w:lastRowFirstColumn="0" w:lastRowLastColumn="0"/>
          <w:trHeight w:val="394"/>
        </w:trPr>
        <w:tc>
          <w:tcPr>
            <w:tcW w:w="3402" w:type="dxa"/>
            <w:vMerge/>
          </w:tcPr>
          <w:p w:rsidR="003777D2" w:rsidRPr="005E77C9" w:rsidRDefault="003777D2" w:rsidP="00361FC0">
            <w:pPr>
              <w:rPr>
                <w:rFonts w:ascii="Arial" w:eastAsia="Times New Roman" w:hAnsi="Arial" w:cs="Arial"/>
                <w:sz w:val="20"/>
                <w:szCs w:val="20"/>
                <w:lang w:eastAsia="bg-BG"/>
              </w:rPr>
            </w:pPr>
          </w:p>
        </w:tc>
        <w:tc>
          <w:tcPr>
            <w:tcW w:w="3402" w:type="dxa"/>
            <w:shd w:val="clear" w:color="auto" w:fill="D9D9D9" w:themeFill="background1" w:themeFillShade="D9"/>
            <w:noWrap/>
          </w:tcPr>
          <w:p w:rsidR="003777D2" w:rsidRPr="005E77C9" w:rsidRDefault="003777D2" w:rsidP="00361FC0">
            <w:pPr>
              <w:jc w:val="center"/>
              <w:rPr>
                <w:rFonts w:ascii="Arial" w:eastAsia="Times New Roman" w:hAnsi="Arial" w:cs="Arial"/>
                <w:sz w:val="20"/>
                <w:szCs w:val="20"/>
                <w:lang w:eastAsia="bg-BG"/>
              </w:rPr>
            </w:pPr>
            <w:r w:rsidRPr="005E77C9">
              <w:rPr>
                <w:rFonts w:ascii="Arial" w:hAnsi="Arial" w:cs="Arial"/>
                <w:sz w:val="20"/>
                <w:szCs w:val="20"/>
              </w:rPr>
              <w:t>Нетни приходи от продажби</w:t>
            </w:r>
          </w:p>
        </w:tc>
        <w:tc>
          <w:tcPr>
            <w:tcW w:w="895" w:type="dxa"/>
            <w:vMerge/>
            <w:vAlign w:val="center"/>
          </w:tcPr>
          <w:p w:rsidR="003777D2" w:rsidRPr="005E77C9" w:rsidRDefault="003777D2" w:rsidP="003D0207">
            <w:pPr>
              <w:jc w:val="right"/>
              <w:rPr>
                <w:rFonts w:ascii="Arial" w:eastAsia="Times New Roman" w:hAnsi="Arial" w:cs="Arial"/>
                <w:sz w:val="20"/>
                <w:szCs w:val="20"/>
                <w:lang w:eastAsia="bg-BG"/>
              </w:rPr>
            </w:pPr>
          </w:p>
        </w:tc>
        <w:tc>
          <w:tcPr>
            <w:tcW w:w="1098" w:type="dxa"/>
            <w:vMerge/>
            <w:vAlign w:val="center"/>
          </w:tcPr>
          <w:p w:rsidR="003777D2" w:rsidRPr="005E77C9" w:rsidRDefault="003777D2" w:rsidP="003D0207">
            <w:pPr>
              <w:jc w:val="right"/>
              <w:rPr>
                <w:rFonts w:ascii="Arial" w:eastAsia="Times New Roman" w:hAnsi="Arial" w:cs="Arial"/>
                <w:sz w:val="20"/>
                <w:szCs w:val="20"/>
                <w:lang w:eastAsia="bg-BG"/>
              </w:rPr>
            </w:pPr>
          </w:p>
        </w:tc>
        <w:tc>
          <w:tcPr>
            <w:tcW w:w="900" w:type="dxa"/>
            <w:vMerge/>
            <w:vAlign w:val="center"/>
          </w:tcPr>
          <w:p w:rsidR="003777D2" w:rsidRPr="005E77C9" w:rsidRDefault="003777D2" w:rsidP="003D0207">
            <w:pPr>
              <w:jc w:val="right"/>
              <w:rPr>
                <w:rFonts w:ascii="Arial" w:eastAsia="Times New Roman" w:hAnsi="Arial" w:cs="Arial"/>
                <w:sz w:val="20"/>
                <w:szCs w:val="20"/>
                <w:lang w:eastAsia="bg-BG"/>
              </w:rPr>
            </w:pPr>
          </w:p>
        </w:tc>
      </w:tr>
      <w:tr w:rsidR="003777D2" w:rsidRPr="005E77C9" w:rsidTr="00207A76">
        <w:trPr>
          <w:cnfStyle w:val="000000100000" w:firstRow="0" w:lastRow="0" w:firstColumn="0" w:lastColumn="0" w:oddVBand="0" w:evenVBand="0" w:oddHBand="1" w:evenHBand="0" w:firstRowFirstColumn="0" w:firstRowLastColumn="0" w:lastRowFirstColumn="0" w:lastRowLastColumn="0"/>
          <w:trHeight w:val="331"/>
        </w:trPr>
        <w:tc>
          <w:tcPr>
            <w:tcW w:w="3402" w:type="dxa"/>
            <w:vMerge w:val="restart"/>
            <w:shd w:val="clear" w:color="auto" w:fill="F2F2F2" w:themeFill="background1" w:themeFillShade="F2"/>
            <w:vAlign w:val="center"/>
          </w:tcPr>
          <w:p w:rsidR="003777D2" w:rsidRPr="005E77C9" w:rsidRDefault="003777D2" w:rsidP="003D0207">
            <w:pPr>
              <w:rPr>
                <w:rFonts w:ascii="Arial" w:hAnsi="Arial" w:cs="Arial"/>
                <w:sz w:val="20"/>
                <w:szCs w:val="20"/>
              </w:rPr>
            </w:pPr>
            <w:r w:rsidRPr="005E77C9">
              <w:rPr>
                <w:rFonts w:ascii="Arial" w:hAnsi="Arial" w:cs="Arial"/>
                <w:sz w:val="20"/>
                <w:szCs w:val="20"/>
              </w:rPr>
              <w:t>2. На счетоводна печалба</w:t>
            </w:r>
          </w:p>
        </w:tc>
        <w:tc>
          <w:tcPr>
            <w:tcW w:w="3402" w:type="dxa"/>
            <w:shd w:val="clear" w:color="auto" w:fill="F2F2F2" w:themeFill="background1" w:themeFillShade="F2"/>
            <w:noWrap/>
            <w:vAlign w:val="bottom"/>
          </w:tcPr>
          <w:p w:rsidR="003777D2" w:rsidRPr="005E77C9" w:rsidRDefault="003777D2" w:rsidP="003D0207">
            <w:pPr>
              <w:jc w:val="center"/>
              <w:rPr>
                <w:rFonts w:ascii="Arial" w:hAnsi="Arial" w:cs="Arial"/>
                <w:sz w:val="20"/>
                <w:szCs w:val="20"/>
              </w:rPr>
            </w:pPr>
            <w:r w:rsidRPr="005E77C9">
              <w:rPr>
                <w:rFonts w:ascii="Arial" w:hAnsi="Arial" w:cs="Arial"/>
                <w:sz w:val="20"/>
                <w:szCs w:val="20"/>
              </w:rPr>
              <w:t>Счетоводна печалба</w:t>
            </w:r>
          </w:p>
        </w:tc>
        <w:tc>
          <w:tcPr>
            <w:tcW w:w="895" w:type="dxa"/>
            <w:vMerge w:val="restart"/>
            <w:shd w:val="clear" w:color="auto" w:fill="F2F2F2" w:themeFill="background1" w:themeFillShade="F2"/>
            <w:noWrap/>
            <w:vAlign w:val="center"/>
          </w:tcPr>
          <w:p w:rsidR="003777D2" w:rsidRPr="005E77C9" w:rsidRDefault="003777D2" w:rsidP="00A6505E">
            <w:pPr>
              <w:jc w:val="right"/>
              <w:rPr>
                <w:rFonts w:ascii="Arial" w:hAnsi="Arial" w:cs="Arial"/>
                <w:sz w:val="20"/>
                <w:szCs w:val="20"/>
              </w:rPr>
            </w:pPr>
            <w:r w:rsidRPr="005E77C9">
              <w:rPr>
                <w:rFonts w:ascii="Arial" w:hAnsi="Arial" w:cs="Arial"/>
                <w:sz w:val="20"/>
                <w:szCs w:val="20"/>
              </w:rPr>
              <w:t>1</w:t>
            </w:r>
            <w:r w:rsidR="000C59F7" w:rsidRPr="005E77C9">
              <w:rPr>
                <w:rFonts w:ascii="Arial" w:hAnsi="Arial" w:cs="Arial"/>
                <w:sz w:val="20"/>
                <w:szCs w:val="20"/>
              </w:rPr>
              <w:t>0</w:t>
            </w:r>
            <w:r w:rsidRPr="005E77C9">
              <w:rPr>
                <w:rFonts w:ascii="Arial" w:hAnsi="Arial" w:cs="Arial"/>
                <w:sz w:val="20"/>
                <w:szCs w:val="20"/>
              </w:rPr>
              <w:t>.</w:t>
            </w:r>
            <w:r w:rsidR="00A6505E" w:rsidRPr="005E77C9">
              <w:rPr>
                <w:rFonts w:ascii="Arial" w:hAnsi="Arial" w:cs="Arial"/>
                <w:sz w:val="20"/>
                <w:szCs w:val="20"/>
              </w:rPr>
              <w:t>7</w:t>
            </w:r>
            <w:r w:rsidR="000C59F7" w:rsidRPr="005E77C9">
              <w:rPr>
                <w:rFonts w:ascii="Arial" w:hAnsi="Arial" w:cs="Arial"/>
                <w:sz w:val="20"/>
                <w:szCs w:val="20"/>
              </w:rPr>
              <w:t>3</w:t>
            </w:r>
            <w:r w:rsidRPr="005E77C9">
              <w:rPr>
                <w:rFonts w:ascii="Arial" w:hAnsi="Arial" w:cs="Arial"/>
                <w:sz w:val="20"/>
                <w:szCs w:val="20"/>
              </w:rPr>
              <w:t>%</w:t>
            </w:r>
          </w:p>
        </w:tc>
        <w:tc>
          <w:tcPr>
            <w:tcW w:w="1098" w:type="dxa"/>
            <w:vMerge w:val="restart"/>
            <w:shd w:val="clear" w:color="auto" w:fill="F2F2F2" w:themeFill="background1" w:themeFillShade="F2"/>
            <w:noWrap/>
            <w:vAlign w:val="center"/>
          </w:tcPr>
          <w:p w:rsidR="003777D2" w:rsidRPr="005E77C9" w:rsidRDefault="003777D2" w:rsidP="00A6505E">
            <w:pPr>
              <w:jc w:val="right"/>
              <w:rPr>
                <w:rFonts w:ascii="Arial" w:hAnsi="Arial" w:cs="Arial"/>
                <w:sz w:val="20"/>
                <w:szCs w:val="20"/>
              </w:rPr>
            </w:pPr>
            <w:r w:rsidRPr="005E77C9">
              <w:rPr>
                <w:rFonts w:ascii="Arial" w:hAnsi="Arial" w:cs="Arial"/>
                <w:sz w:val="20"/>
                <w:szCs w:val="20"/>
              </w:rPr>
              <w:t>1</w:t>
            </w:r>
            <w:r w:rsidR="000C59F7" w:rsidRPr="005E77C9">
              <w:rPr>
                <w:rFonts w:ascii="Arial" w:hAnsi="Arial" w:cs="Arial"/>
                <w:sz w:val="20"/>
                <w:szCs w:val="20"/>
              </w:rPr>
              <w:t>0</w:t>
            </w:r>
            <w:r w:rsidRPr="005E77C9">
              <w:rPr>
                <w:rFonts w:ascii="Arial" w:hAnsi="Arial" w:cs="Arial"/>
                <w:sz w:val="20"/>
                <w:szCs w:val="20"/>
              </w:rPr>
              <w:t>.</w:t>
            </w:r>
            <w:r w:rsidR="000C59F7" w:rsidRPr="005E77C9">
              <w:rPr>
                <w:rFonts w:ascii="Arial" w:hAnsi="Arial" w:cs="Arial"/>
                <w:sz w:val="20"/>
                <w:szCs w:val="20"/>
              </w:rPr>
              <w:t>45</w:t>
            </w:r>
            <w:r w:rsidRPr="005E77C9">
              <w:rPr>
                <w:rFonts w:ascii="Arial" w:hAnsi="Arial" w:cs="Arial"/>
                <w:sz w:val="20"/>
                <w:szCs w:val="20"/>
              </w:rPr>
              <w:t>%</w:t>
            </w:r>
          </w:p>
        </w:tc>
        <w:tc>
          <w:tcPr>
            <w:tcW w:w="900" w:type="dxa"/>
            <w:vMerge w:val="restart"/>
            <w:shd w:val="clear" w:color="auto" w:fill="F2F2F2" w:themeFill="background1" w:themeFillShade="F2"/>
            <w:noWrap/>
            <w:vAlign w:val="center"/>
          </w:tcPr>
          <w:p w:rsidR="003777D2" w:rsidRPr="005E77C9" w:rsidRDefault="003777D2" w:rsidP="00A6505E">
            <w:pPr>
              <w:jc w:val="right"/>
              <w:rPr>
                <w:rFonts w:ascii="Arial" w:hAnsi="Arial" w:cs="Arial"/>
                <w:sz w:val="20"/>
                <w:szCs w:val="20"/>
              </w:rPr>
            </w:pPr>
            <w:r w:rsidRPr="005E77C9">
              <w:rPr>
                <w:rFonts w:ascii="Arial" w:hAnsi="Arial" w:cs="Arial"/>
                <w:sz w:val="20"/>
                <w:szCs w:val="20"/>
              </w:rPr>
              <w:t>11.</w:t>
            </w:r>
            <w:r w:rsidR="000C59F7" w:rsidRPr="005E77C9">
              <w:rPr>
                <w:rFonts w:ascii="Arial" w:hAnsi="Arial" w:cs="Arial"/>
                <w:sz w:val="20"/>
                <w:szCs w:val="20"/>
              </w:rPr>
              <w:t>76</w:t>
            </w:r>
            <w:r w:rsidRPr="005E77C9">
              <w:rPr>
                <w:rFonts w:ascii="Arial" w:hAnsi="Arial" w:cs="Arial"/>
                <w:sz w:val="20"/>
                <w:szCs w:val="20"/>
              </w:rPr>
              <w:t>%</w:t>
            </w:r>
          </w:p>
        </w:tc>
      </w:tr>
      <w:tr w:rsidR="003777D2" w:rsidRPr="005E77C9" w:rsidTr="00207A76">
        <w:trPr>
          <w:cnfStyle w:val="000000010000" w:firstRow="0" w:lastRow="0" w:firstColumn="0" w:lastColumn="0" w:oddVBand="0" w:evenVBand="0" w:oddHBand="0" w:evenHBand="1" w:firstRowFirstColumn="0" w:firstRowLastColumn="0" w:lastRowFirstColumn="0" w:lastRowLastColumn="0"/>
          <w:trHeight w:val="273"/>
        </w:trPr>
        <w:tc>
          <w:tcPr>
            <w:tcW w:w="3402" w:type="dxa"/>
            <w:vMerge/>
          </w:tcPr>
          <w:p w:rsidR="003777D2" w:rsidRPr="005E77C9" w:rsidRDefault="003777D2" w:rsidP="00361FC0">
            <w:pPr>
              <w:rPr>
                <w:rFonts w:ascii="Arial" w:eastAsia="Times New Roman" w:hAnsi="Arial" w:cs="Arial"/>
                <w:sz w:val="20"/>
                <w:szCs w:val="20"/>
                <w:lang w:eastAsia="bg-BG"/>
              </w:rPr>
            </w:pPr>
          </w:p>
        </w:tc>
        <w:tc>
          <w:tcPr>
            <w:tcW w:w="3402" w:type="dxa"/>
            <w:shd w:val="clear" w:color="auto" w:fill="F2F2F2" w:themeFill="background1" w:themeFillShade="F2"/>
            <w:noWrap/>
          </w:tcPr>
          <w:p w:rsidR="003777D2" w:rsidRPr="005E77C9" w:rsidRDefault="003777D2" w:rsidP="00361FC0">
            <w:pPr>
              <w:jc w:val="center"/>
              <w:rPr>
                <w:rFonts w:ascii="Arial" w:eastAsia="Times New Roman" w:hAnsi="Arial" w:cs="Arial"/>
                <w:sz w:val="20"/>
                <w:szCs w:val="20"/>
                <w:lang w:eastAsia="bg-BG"/>
              </w:rPr>
            </w:pPr>
            <w:r w:rsidRPr="005E77C9">
              <w:rPr>
                <w:rFonts w:ascii="Arial" w:hAnsi="Arial" w:cs="Arial"/>
                <w:sz w:val="20"/>
                <w:szCs w:val="20"/>
              </w:rPr>
              <w:t>Нетни приходи от продажби</w:t>
            </w:r>
          </w:p>
        </w:tc>
        <w:tc>
          <w:tcPr>
            <w:tcW w:w="895" w:type="dxa"/>
            <w:vMerge/>
            <w:vAlign w:val="center"/>
          </w:tcPr>
          <w:p w:rsidR="003777D2" w:rsidRPr="005E77C9" w:rsidRDefault="003777D2" w:rsidP="003D0207">
            <w:pPr>
              <w:jc w:val="right"/>
              <w:rPr>
                <w:rFonts w:ascii="Arial" w:eastAsia="Times New Roman" w:hAnsi="Arial" w:cs="Arial"/>
                <w:sz w:val="20"/>
                <w:szCs w:val="20"/>
                <w:lang w:eastAsia="bg-BG"/>
              </w:rPr>
            </w:pPr>
          </w:p>
        </w:tc>
        <w:tc>
          <w:tcPr>
            <w:tcW w:w="1098" w:type="dxa"/>
            <w:vMerge/>
            <w:vAlign w:val="center"/>
          </w:tcPr>
          <w:p w:rsidR="003777D2" w:rsidRPr="005E77C9" w:rsidRDefault="003777D2" w:rsidP="003D0207">
            <w:pPr>
              <w:jc w:val="right"/>
              <w:rPr>
                <w:rFonts w:ascii="Arial" w:eastAsia="Times New Roman" w:hAnsi="Arial" w:cs="Arial"/>
                <w:sz w:val="20"/>
                <w:szCs w:val="20"/>
                <w:lang w:eastAsia="bg-BG"/>
              </w:rPr>
            </w:pPr>
          </w:p>
        </w:tc>
        <w:tc>
          <w:tcPr>
            <w:tcW w:w="900" w:type="dxa"/>
            <w:vMerge/>
            <w:vAlign w:val="center"/>
          </w:tcPr>
          <w:p w:rsidR="003777D2" w:rsidRPr="005E77C9" w:rsidRDefault="003777D2" w:rsidP="003D0207">
            <w:pPr>
              <w:jc w:val="right"/>
              <w:rPr>
                <w:rFonts w:ascii="Arial" w:eastAsia="Times New Roman" w:hAnsi="Arial" w:cs="Arial"/>
                <w:sz w:val="20"/>
                <w:szCs w:val="20"/>
                <w:lang w:eastAsia="bg-BG"/>
              </w:rPr>
            </w:pPr>
          </w:p>
        </w:tc>
      </w:tr>
      <w:tr w:rsidR="003777D2" w:rsidRPr="005E77C9" w:rsidTr="00207A76">
        <w:trPr>
          <w:cnfStyle w:val="000000100000" w:firstRow="0" w:lastRow="0" w:firstColumn="0" w:lastColumn="0" w:oddVBand="0" w:evenVBand="0" w:oddHBand="1" w:evenHBand="0" w:firstRowFirstColumn="0" w:firstRowLastColumn="0" w:lastRowFirstColumn="0" w:lastRowLastColumn="0"/>
          <w:trHeight w:val="375"/>
        </w:trPr>
        <w:tc>
          <w:tcPr>
            <w:tcW w:w="3402" w:type="dxa"/>
            <w:vMerge w:val="restart"/>
            <w:shd w:val="clear" w:color="auto" w:fill="D9D9D9" w:themeFill="background1" w:themeFillShade="D9"/>
            <w:vAlign w:val="center"/>
          </w:tcPr>
          <w:p w:rsidR="003777D2" w:rsidRPr="005E77C9" w:rsidRDefault="003777D2" w:rsidP="003D0207">
            <w:pPr>
              <w:rPr>
                <w:rFonts w:ascii="Arial" w:hAnsi="Arial" w:cs="Arial"/>
                <w:sz w:val="20"/>
                <w:szCs w:val="20"/>
              </w:rPr>
            </w:pPr>
            <w:r w:rsidRPr="005E77C9">
              <w:rPr>
                <w:rFonts w:ascii="Arial" w:hAnsi="Arial" w:cs="Arial"/>
                <w:sz w:val="20"/>
                <w:szCs w:val="20"/>
              </w:rPr>
              <w:t>3. На нетната печалба</w:t>
            </w:r>
          </w:p>
        </w:tc>
        <w:tc>
          <w:tcPr>
            <w:tcW w:w="3402" w:type="dxa"/>
            <w:shd w:val="clear" w:color="auto" w:fill="D9D9D9" w:themeFill="background1" w:themeFillShade="D9"/>
            <w:noWrap/>
            <w:vAlign w:val="bottom"/>
          </w:tcPr>
          <w:p w:rsidR="003777D2" w:rsidRPr="005E77C9" w:rsidRDefault="003777D2" w:rsidP="003D0207">
            <w:pPr>
              <w:jc w:val="center"/>
              <w:rPr>
                <w:rFonts w:ascii="Arial" w:hAnsi="Arial" w:cs="Arial"/>
                <w:sz w:val="20"/>
                <w:szCs w:val="20"/>
              </w:rPr>
            </w:pPr>
            <w:r w:rsidRPr="005E77C9">
              <w:rPr>
                <w:rFonts w:ascii="Arial" w:hAnsi="Arial" w:cs="Arial"/>
                <w:sz w:val="20"/>
                <w:szCs w:val="20"/>
              </w:rPr>
              <w:t>Нетна печалба</w:t>
            </w:r>
          </w:p>
        </w:tc>
        <w:tc>
          <w:tcPr>
            <w:tcW w:w="895" w:type="dxa"/>
            <w:vMerge w:val="restart"/>
            <w:shd w:val="clear" w:color="auto" w:fill="D9D9D9" w:themeFill="background1" w:themeFillShade="D9"/>
            <w:noWrap/>
            <w:vAlign w:val="center"/>
          </w:tcPr>
          <w:p w:rsidR="003777D2" w:rsidRPr="005E77C9" w:rsidRDefault="000C59F7" w:rsidP="00A6505E">
            <w:pPr>
              <w:jc w:val="right"/>
              <w:rPr>
                <w:rFonts w:ascii="Arial" w:hAnsi="Arial" w:cs="Arial"/>
                <w:sz w:val="20"/>
                <w:szCs w:val="20"/>
              </w:rPr>
            </w:pPr>
            <w:r w:rsidRPr="005E77C9">
              <w:rPr>
                <w:rFonts w:ascii="Arial" w:hAnsi="Arial" w:cs="Arial"/>
                <w:sz w:val="20"/>
                <w:szCs w:val="20"/>
              </w:rPr>
              <w:t>9</w:t>
            </w:r>
            <w:r w:rsidR="003777D2" w:rsidRPr="005E77C9">
              <w:rPr>
                <w:rFonts w:ascii="Arial" w:hAnsi="Arial" w:cs="Arial"/>
                <w:sz w:val="20"/>
                <w:szCs w:val="20"/>
              </w:rPr>
              <w:t>.</w:t>
            </w:r>
            <w:r w:rsidRPr="005E77C9">
              <w:rPr>
                <w:rFonts w:ascii="Arial" w:hAnsi="Arial" w:cs="Arial"/>
                <w:sz w:val="20"/>
                <w:szCs w:val="20"/>
              </w:rPr>
              <w:t>66</w:t>
            </w:r>
            <w:r w:rsidR="003777D2" w:rsidRPr="005E77C9">
              <w:rPr>
                <w:rFonts w:ascii="Arial" w:hAnsi="Arial" w:cs="Arial"/>
                <w:sz w:val="20"/>
                <w:szCs w:val="20"/>
              </w:rPr>
              <w:t>%</w:t>
            </w:r>
          </w:p>
        </w:tc>
        <w:tc>
          <w:tcPr>
            <w:tcW w:w="1098" w:type="dxa"/>
            <w:vMerge w:val="restart"/>
            <w:shd w:val="clear" w:color="auto" w:fill="D9D9D9" w:themeFill="background1" w:themeFillShade="D9"/>
            <w:noWrap/>
            <w:vAlign w:val="center"/>
          </w:tcPr>
          <w:p w:rsidR="003777D2" w:rsidRPr="005E77C9" w:rsidRDefault="003777D2" w:rsidP="00A6505E">
            <w:pPr>
              <w:jc w:val="right"/>
              <w:rPr>
                <w:rFonts w:ascii="Arial" w:hAnsi="Arial" w:cs="Arial"/>
                <w:sz w:val="20"/>
                <w:szCs w:val="20"/>
              </w:rPr>
            </w:pPr>
            <w:r w:rsidRPr="005E77C9">
              <w:rPr>
                <w:rFonts w:ascii="Arial" w:hAnsi="Arial" w:cs="Arial"/>
                <w:sz w:val="20"/>
                <w:szCs w:val="20"/>
              </w:rPr>
              <w:t>9.</w:t>
            </w:r>
            <w:r w:rsidR="000C59F7" w:rsidRPr="005E77C9">
              <w:rPr>
                <w:rFonts w:ascii="Arial" w:hAnsi="Arial" w:cs="Arial"/>
                <w:sz w:val="20"/>
                <w:szCs w:val="20"/>
              </w:rPr>
              <w:t>41</w:t>
            </w:r>
            <w:r w:rsidRPr="005E77C9">
              <w:rPr>
                <w:rFonts w:ascii="Arial" w:hAnsi="Arial" w:cs="Arial"/>
                <w:sz w:val="20"/>
                <w:szCs w:val="20"/>
              </w:rPr>
              <w:t>%</w:t>
            </w:r>
          </w:p>
        </w:tc>
        <w:tc>
          <w:tcPr>
            <w:tcW w:w="900" w:type="dxa"/>
            <w:vMerge w:val="restart"/>
            <w:shd w:val="clear" w:color="auto" w:fill="D9D9D9" w:themeFill="background1" w:themeFillShade="D9"/>
            <w:noWrap/>
            <w:vAlign w:val="center"/>
          </w:tcPr>
          <w:p w:rsidR="003777D2" w:rsidRPr="005E77C9" w:rsidRDefault="000C59F7" w:rsidP="00A6505E">
            <w:pPr>
              <w:jc w:val="right"/>
              <w:rPr>
                <w:rFonts w:ascii="Arial" w:hAnsi="Arial" w:cs="Arial"/>
                <w:sz w:val="20"/>
                <w:szCs w:val="20"/>
              </w:rPr>
            </w:pPr>
            <w:r w:rsidRPr="005E77C9">
              <w:rPr>
                <w:rFonts w:ascii="Arial" w:hAnsi="Arial" w:cs="Arial"/>
                <w:sz w:val="20"/>
                <w:szCs w:val="20"/>
              </w:rPr>
              <w:t>10.58</w:t>
            </w:r>
            <w:r w:rsidR="003777D2" w:rsidRPr="005E77C9">
              <w:rPr>
                <w:rFonts w:ascii="Arial" w:hAnsi="Arial" w:cs="Arial"/>
                <w:sz w:val="20"/>
                <w:szCs w:val="20"/>
              </w:rPr>
              <w:t>%</w:t>
            </w:r>
          </w:p>
        </w:tc>
      </w:tr>
      <w:tr w:rsidR="003777D2" w:rsidRPr="005E77C9" w:rsidTr="00207A76">
        <w:trPr>
          <w:cnfStyle w:val="000000010000" w:firstRow="0" w:lastRow="0" w:firstColumn="0" w:lastColumn="0" w:oddVBand="0" w:evenVBand="0" w:oddHBand="0" w:evenHBand="1" w:firstRowFirstColumn="0" w:firstRowLastColumn="0" w:lastRowFirstColumn="0" w:lastRowLastColumn="0"/>
          <w:trHeight w:val="375"/>
        </w:trPr>
        <w:tc>
          <w:tcPr>
            <w:tcW w:w="3402" w:type="dxa"/>
            <w:vMerge/>
          </w:tcPr>
          <w:p w:rsidR="003777D2" w:rsidRPr="005E77C9" w:rsidRDefault="003777D2" w:rsidP="00665DA4">
            <w:pPr>
              <w:rPr>
                <w:rFonts w:ascii="Arial" w:eastAsia="Times New Roman" w:hAnsi="Arial" w:cs="Arial"/>
                <w:sz w:val="20"/>
                <w:szCs w:val="20"/>
                <w:lang w:eastAsia="bg-BG"/>
              </w:rPr>
            </w:pPr>
          </w:p>
        </w:tc>
        <w:tc>
          <w:tcPr>
            <w:tcW w:w="3402" w:type="dxa"/>
            <w:shd w:val="clear" w:color="auto" w:fill="D9D9D9" w:themeFill="background1" w:themeFillShade="D9"/>
            <w:noWrap/>
          </w:tcPr>
          <w:p w:rsidR="003777D2" w:rsidRPr="005E77C9" w:rsidRDefault="003777D2" w:rsidP="00665DA4">
            <w:pPr>
              <w:jc w:val="center"/>
              <w:rPr>
                <w:rFonts w:ascii="Arial" w:eastAsia="Times New Roman" w:hAnsi="Arial" w:cs="Arial"/>
                <w:sz w:val="20"/>
                <w:szCs w:val="20"/>
                <w:lang w:eastAsia="bg-BG"/>
              </w:rPr>
            </w:pPr>
            <w:r w:rsidRPr="005E77C9">
              <w:rPr>
                <w:rFonts w:ascii="Arial" w:eastAsia="Times New Roman" w:hAnsi="Arial" w:cs="Arial"/>
                <w:sz w:val="20"/>
                <w:szCs w:val="20"/>
                <w:lang w:eastAsia="bg-BG"/>
              </w:rPr>
              <w:t>Нетни приходи от продажби</w:t>
            </w:r>
          </w:p>
        </w:tc>
        <w:tc>
          <w:tcPr>
            <w:tcW w:w="895" w:type="dxa"/>
            <w:vMerge/>
          </w:tcPr>
          <w:p w:rsidR="003777D2" w:rsidRPr="005E77C9" w:rsidRDefault="003777D2" w:rsidP="00665DA4">
            <w:pPr>
              <w:rPr>
                <w:rFonts w:ascii="Arial" w:eastAsia="Times New Roman" w:hAnsi="Arial" w:cs="Arial"/>
                <w:sz w:val="20"/>
                <w:szCs w:val="20"/>
                <w:lang w:eastAsia="bg-BG"/>
              </w:rPr>
            </w:pPr>
          </w:p>
        </w:tc>
        <w:tc>
          <w:tcPr>
            <w:tcW w:w="1098" w:type="dxa"/>
            <w:vMerge/>
          </w:tcPr>
          <w:p w:rsidR="003777D2" w:rsidRPr="005E77C9" w:rsidRDefault="003777D2" w:rsidP="00665DA4">
            <w:pPr>
              <w:rPr>
                <w:rFonts w:ascii="Arial" w:eastAsia="Times New Roman" w:hAnsi="Arial" w:cs="Arial"/>
                <w:sz w:val="20"/>
                <w:szCs w:val="20"/>
                <w:lang w:eastAsia="bg-BG"/>
              </w:rPr>
            </w:pPr>
          </w:p>
        </w:tc>
        <w:tc>
          <w:tcPr>
            <w:tcW w:w="900" w:type="dxa"/>
            <w:vMerge/>
          </w:tcPr>
          <w:p w:rsidR="003777D2" w:rsidRPr="005E77C9" w:rsidRDefault="003777D2" w:rsidP="00665DA4">
            <w:pPr>
              <w:rPr>
                <w:rFonts w:ascii="Arial" w:eastAsia="Times New Roman" w:hAnsi="Arial" w:cs="Arial"/>
                <w:sz w:val="20"/>
                <w:szCs w:val="20"/>
                <w:lang w:eastAsia="bg-BG"/>
              </w:rPr>
            </w:pPr>
          </w:p>
        </w:tc>
      </w:tr>
    </w:tbl>
    <w:p w:rsidR="00D32C0D" w:rsidRPr="00685C28" w:rsidRDefault="00025B42" w:rsidP="00685C28">
      <w:pPr>
        <w:pStyle w:val="ListParagraph"/>
        <w:numPr>
          <w:ilvl w:val="0"/>
          <w:numId w:val="27"/>
        </w:numPr>
        <w:spacing w:before="240" w:after="120"/>
        <w:ind w:left="0" w:firstLine="709"/>
        <w:jc w:val="both"/>
        <w:rPr>
          <w:rFonts w:eastAsia="Times New Roman"/>
          <w:lang w:val="en-US" w:eastAsia="bg-BG"/>
        </w:rPr>
      </w:pPr>
      <w:r w:rsidRPr="00685C28">
        <w:rPr>
          <w:i/>
          <w:u w:val="single"/>
        </w:rPr>
        <w:t>О</w:t>
      </w:r>
      <w:r w:rsidR="00B6249A" w:rsidRPr="00685C28">
        <w:rPr>
          <w:i/>
          <w:u w:val="single"/>
        </w:rPr>
        <w:t>тчетените стойности на коефициентите за ликвидност</w:t>
      </w:r>
      <w:r w:rsidR="00B6249A" w:rsidRPr="00685C28">
        <w:rPr>
          <w:rFonts w:eastAsia="Times New Roman"/>
          <w:lang w:eastAsia="bg-BG"/>
        </w:rPr>
        <w:t xml:space="preserve"> </w:t>
      </w:r>
      <w:r w:rsidRPr="00685C28">
        <w:rPr>
          <w:rFonts w:eastAsia="Times New Roman"/>
          <w:lang w:eastAsia="bg-BG"/>
        </w:rPr>
        <w:t xml:space="preserve">свидетелстват за традиционно </w:t>
      </w:r>
      <w:r w:rsidR="00FE0422" w:rsidRPr="00685C28">
        <w:rPr>
          <w:rFonts w:eastAsia="Times New Roman"/>
          <w:lang w:eastAsia="bg-BG"/>
        </w:rPr>
        <w:t>добрите нива, на които тя се поддържа в дейността на „Пристанищен комплекс – Русе“ ЕАД</w:t>
      </w:r>
      <w:r w:rsidR="006838E1" w:rsidRPr="00685C28">
        <w:rPr>
          <w:rFonts w:eastAsia="Times New Roman"/>
          <w:lang w:eastAsia="bg-BG"/>
        </w:rPr>
        <w:t>.</w:t>
      </w:r>
    </w:p>
    <w:tbl>
      <w:tblPr>
        <w:tblStyle w:val="TableContemporary"/>
        <w:tblW w:w="9723" w:type="dxa"/>
        <w:tblLook w:val="0000" w:firstRow="0" w:lastRow="0" w:firstColumn="0" w:lastColumn="0" w:noHBand="0" w:noVBand="0"/>
      </w:tblPr>
      <w:tblGrid>
        <w:gridCol w:w="3261"/>
        <w:gridCol w:w="3682"/>
        <w:gridCol w:w="995"/>
        <w:gridCol w:w="885"/>
        <w:gridCol w:w="900"/>
      </w:tblGrid>
      <w:tr w:rsidR="000C59F7" w:rsidRPr="005E77C9" w:rsidTr="00F2098A">
        <w:trPr>
          <w:cnfStyle w:val="000000100000" w:firstRow="0" w:lastRow="0" w:firstColumn="0" w:lastColumn="0" w:oddVBand="0" w:evenVBand="0" w:oddHBand="1" w:evenHBand="0" w:firstRowFirstColumn="0" w:firstRowLastColumn="0" w:lastRowFirstColumn="0" w:lastRowLastColumn="0"/>
          <w:trHeight w:val="375"/>
        </w:trPr>
        <w:tc>
          <w:tcPr>
            <w:tcW w:w="6943" w:type="dxa"/>
            <w:gridSpan w:val="2"/>
            <w:shd w:val="clear" w:color="auto" w:fill="BFBFBF" w:themeFill="background1" w:themeFillShade="BF"/>
            <w:noWrap/>
            <w:vAlign w:val="center"/>
          </w:tcPr>
          <w:bookmarkEnd w:id="47"/>
          <w:p w:rsidR="000C59F7" w:rsidRPr="005E77C9" w:rsidRDefault="000C59F7" w:rsidP="000C59F7">
            <w:pPr>
              <w:rPr>
                <w:rFonts w:ascii="Arial" w:eastAsia="Times New Roman" w:hAnsi="Arial" w:cs="Arial"/>
                <w:b/>
                <w:bCs/>
                <w:i/>
                <w:iCs/>
                <w:sz w:val="20"/>
                <w:szCs w:val="20"/>
                <w:u w:val="single"/>
                <w:lang w:eastAsia="bg-BG"/>
              </w:rPr>
            </w:pPr>
            <w:r w:rsidRPr="005E77C9">
              <w:rPr>
                <w:rFonts w:ascii="Arial" w:eastAsia="Times New Roman" w:hAnsi="Arial" w:cs="Arial"/>
                <w:b/>
                <w:bCs/>
                <w:i/>
                <w:iCs/>
                <w:sz w:val="20"/>
                <w:szCs w:val="20"/>
                <w:u w:val="single"/>
                <w:lang w:eastAsia="bg-BG"/>
              </w:rPr>
              <w:lastRenderedPageBreak/>
              <w:t>Коефициенти на ликвидност</w:t>
            </w:r>
          </w:p>
        </w:tc>
        <w:tc>
          <w:tcPr>
            <w:tcW w:w="995" w:type="dxa"/>
            <w:shd w:val="clear" w:color="auto" w:fill="BFBFBF" w:themeFill="background1" w:themeFillShade="BF"/>
            <w:noWrap/>
            <w:vAlign w:val="center"/>
          </w:tcPr>
          <w:p w:rsidR="000C59F7" w:rsidRPr="005E77C9" w:rsidRDefault="000C59F7" w:rsidP="000C59F7">
            <w:pPr>
              <w:jc w:val="center"/>
              <w:rPr>
                <w:rFonts w:ascii="Arial" w:hAnsi="Arial" w:cs="Arial"/>
                <w:b/>
                <w:bCs/>
                <w:sz w:val="20"/>
                <w:szCs w:val="20"/>
              </w:rPr>
            </w:pPr>
            <w:r w:rsidRPr="005E77C9">
              <w:rPr>
                <w:rFonts w:ascii="Arial" w:hAnsi="Arial" w:cs="Arial"/>
                <w:b/>
                <w:bCs/>
                <w:sz w:val="20"/>
                <w:szCs w:val="20"/>
              </w:rPr>
              <w:t>2019г.</w:t>
            </w:r>
          </w:p>
        </w:tc>
        <w:tc>
          <w:tcPr>
            <w:tcW w:w="885" w:type="dxa"/>
            <w:shd w:val="clear" w:color="auto" w:fill="BFBFBF" w:themeFill="background1" w:themeFillShade="BF"/>
            <w:noWrap/>
            <w:vAlign w:val="center"/>
          </w:tcPr>
          <w:p w:rsidR="000C59F7" w:rsidRPr="005E77C9" w:rsidRDefault="000C59F7" w:rsidP="000C59F7">
            <w:pPr>
              <w:jc w:val="center"/>
              <w:rPr>
                <w:rFonts w:ascii="Arial" w:hAnsi="Arial" w:cs="Arial"/>
                <w:b/>
                <w:bCs/>
                <w:sz w:val="20"/>
                <w:szCs w:val="20"/>
              </w:rPr>
            </w:pPr>
            <w:r w:rsidRPr="005E77C9">
              <w:rPr>
                <w:rFonts w:ascii="Arial" w:hAnsi="Arial" w:cs="Arial"/>
                <w:b/>
                <w:bCs/>
                <w:sz w:val="20"/>
                <w:szCs w:val="20"/>
              </w:rPr>
              <w:t>БП</w:t>
            </w:r>
          </w:p>
          <w:p w:rsidR="000C59F7" w:rsidRPr="005E77C9" w:rsidRDefault="000C59F7" w:rsidP="000C59F7">
            <w:pPr>
              <w:jc w:val="center"/>
              <w:rPr>
                <w:rFonts w:ascii="Arial" w:hAnsi="Arial" w:cs="Arial"/>
                <w:b/>
                <w:bCs/>
                <w:sz w:val="20"/>
                <w:szCs w:val="20"/>
                <w:lang w:val="en-US"/>
              </w:rPr>
            </w:pPr>
            <w:r w:rsidRPr="005E77C9">
              <w:rPr>
                <w:rFonts w:ascii="Arial" w:hAnsi="Arial" w:cs="Arial"/>
                <w:b/>
                <w:bCs/>
                <w:sz w:val="20"/>
                <w:szCs w:val="20"/>
              </w:rPr>
              <w:t>2019</w:t>
            </w:r>
          </w:p>
        </w:tc>
        <w:tc>
          <w:tcPr>
            <w:tcW w:w="900" w:type="dxa"/>
            <w:shd w:val="clear" w:color="auto" w:fill="BFBFBF" w:themeFill="background1" w:themeFillShade="BF"/>
            <w:noWrap/>
            <w:vAlign w:val="center"/>
          </w:tcPr>
          <w:p w:rsidR="000C59F7" w:rsidRPr="005E77C9" w:rsidRDefault="000C59F7" w:rsidP="000C59F7">
            <w:pPr>
              <w:jc w:val="center"/>
              <w:rPr>
                <w:rFonts w:ascii="Arial" w:hAnsi="Arial" w:cs="Arial"/>
                <w:b/>
                <w:bCs/>
                <w:sz w:val="20"/>
                <w:szCs w:val="20"/>
              </w:rPr>
            </w:pPr>
            <w:r w:rsidRPr="005E77C9">
              <w:rPr>
                <w:rFonts w:ascii="Arial" w:hAnsi="Arial" w:cs="Arial"/>
                <w:b/>
                <w:bCs/>
                <w:sz w:val="20"/>
                <w:szCs w:val="20"/>
              </w:rPr>
              <w:t>2018г.</w:t>
            </w:r>
          </w:p>
        </w:tc>
      </w:tr>
      <w:tr w:rsidR="003777D2" w:rsidRPr="005E77C9" w:rsidTr="003777D2">
        <w:trPr>
          <w:cnfStyle w:val="000000010000" w:firstRow="0" w:lastRow="0" w:firstColumn="0" w:lastColumn="0" w:oddVBand="0" w:evenVBand="0" w:oddHBand="0" w:evenHBand="1" w:firstRowFirstColumn="0" w:firstRowLastColumn="0" w:lastRowFirstColumn="0" w:lastRowLastColumn="0"/>
          <w:trHeight w:val="315"/>
        </w:trPr>
        <w:tc>
          <w:tcPr>
            <w:tcW w:w="3261" w:type="dxa"/>
            <w:vMerge w:val="restart"/>
            <w:shd w:val="clear" w:color="auto" w:fill="D9D9D9" w:themeFill="background1" w:themeFillShade="D9"/>
            <w:vAlign w:val="center"/>
          </w:tcPr>
          <w:p w:rsidR="003777D2" w:rsidRPr="005E77C9" w:rsidRDefault="003777D2" w:rsidP="003777D2">
            <w:pPr>
              <w:rPr>
                <w:rFonts w:ascii="Arial" w:hAnsi="Arial" w:cs="Arial"/>
                <w:sz w:val="20"/>
                <w:szCs w:val="20"/>
              </w:rPr>
            </w:pPr>
            <w:r w:rsidRPr="005E77C9">
              <w:rPr>
                <w:rFonts w:ascii="Arial" w:hAnsi="Arial" w:cs="Arial"/>
                <w:sz w:val="20"/>
                <w:szCs w:val="20"/>
              </w:rPr>
              <w:t>1. Кф. на обща ликвидност (current ratio)</w:t>
            </w:r>
          </w:p>
        </w:tc>
        <w:tc>
          <w:tcPr>
            <w:tcW w:w="3682" w:type="dxa"/>
            <w:shd w:val="clear" w:color="auto" w:fill="D9D9D9" w:themeFill="background1" w:themeFillShade="D9"/>
            <w:vAlign w:val="bottom"/>
          </w:tcPr>
          <w:p w:rsidR="003777D2" w:rsidRPr="005E77C9" w:rsidRDefault="003777D2" w:rsidP="003777D2">
            <w:pPr>
              <w:jc w:val="center"/>
              <w:rPr>
                <w:rFonts w:ascii="Arial" w:hAnsi="Arial" w:cs="Arial"/>
                <w:sz w:val="20"/>
                <w:szCs w:val="20"/>
              </w:rPr>
            </w:pPr>
            <w:r w:rsidRPr="005E77C9">
              <w:rPr>
                <w:rFonts w:ascii="Arial" w:hAnsi="Arial" w:cs="Arial"/>
                <w:sz w:val="20"/>
                <w:szCs w:val="20"/>
              </w:rPr>
              <w:t>Краткотрайни активи</w:t>
            </w:r>
          </w:p>
        </w:tc>
        <w:tc>
          <w:tcPr>
            <w:tcW w:w="995" w:type="dxa"/>
            <w:vMerge w:val="restart"/>
            <w:shd w:val="clear" w:color="auto" w:fill="D9D9D9" w:themeFill="background1" w:themeFillShade="D9"/>
            <w:noWrap/>
            <w:vAlign w:val="center"/>
          </w:tcPr>
          <w:p w:rsidR="003777D2" w:rsidRPr="005E77C9" w:rsidRDefault="000C59F7" w:rsidP="008017F0">
            <w:pPr>
              <w:jc w:val="right"/>
              <w:rPr>
                <w:rFonts w:ascii="Arial" w:hAnsi="Arial" w:cs="Arial"/>
                <w:sz w:val="20"/>
                <w:szCs w:val="20"/>
                <w:lang w:val="en-US" w:eastAsia="bg-BG"/>
              </w:rPr>
            </w:pPr>
            <w:r w:rsidRPr="005E77C9">
              <w:rPr>
                <w:rFonts w:ascii="Arial" w:hAnsi="Arial" w:cs="Arial"/>
                <w:sz w:val="20"/>
                <w:szCs w:val="20"/>
              </w:rPr>
              <w:t>25</w:t>
            </w:r>
            <w:r w:rsidRPr="005E77C9">
              <w:rPr>
                <w:rFonts w:ascii="Arial" w:hAnsi="Arial" w:cs="Arial"/>
                <w:sz w:val="20"/>
                <w:szCs w:val="20"/>
                <w:lang w:val="en-US"/>
              </w:rPr>
              <w:t>.75</w:t>
            </w:r>
          </w:p>
        </w:tc>
        <w:tc>
          <w:tcPr>
            <w:tcW w:w="885" w:type="dxa"/>
            <w:vMerge w:val="restart"/>
            <w:shd w:val="clear" w:color="auto" w:fill="D9D9D9" w:themeFill="background1" w:themeFillShade="D9"/>
            <w:noWrap/>
            <w:vAlign w:val="center"/>
          </w:tcPr>
          <w:p w:rsidR="003777D2" w:rsidRPr="005E77C9" w:rsidRDefault="000C59F7" w:rsidP="008017F0">
            <w:pPr>
              <w:jc w:val="right"/>
              <w:rPr>
                <w:rFonts w:ascii="Arial" w:hAnsi="Arial" w:cs="Arial"/>
                <w:sz w:val="20"/>
                <w:szCs w:val="20"/>
                <w:lang w:val="en-US"/>
              </w:rPr>
            </w:pPr>
            <w:r w:rsidRPr="005E77C9">
              <w:rPr>
                <w:rFonts w:ascii="Arial" w:hAnsi="Arial" w:cs="Arial"/>
                <w:sz w:val="20"/>
                <w:szCs w:val="20"/>
                <w:lang w:val="en-US"/>
              </w:rPr>
              <w:t>24.47</w:t>
            </w:r>
          </w:p>
        </w:tc>
        <w:tc>
          <w:tcPr>
            <w:tcW w:w="900" w:type="dxa"/>
            <w:vMerge w:val="restart"/>
            <w:shd w:val="clear" w:color="auto" w:fill="D9D9D9" w:themeFill="background1" w:themeFillShade="D9"/>
            <w:noWrap/>
            <w:vAlign w:val="center"/>
          </w:tcPr>
          <w:p w:rsidR="003777D2" w:rsidRPr="005E77C9" w:rsidRDefault="000C59F7" w:rsidP="008017F0">
            <w:pPr>
              <w:jc w:val="right"/>
              <w:rPr>
                <w:rFonts w:ascii="Arial" w:hAnsi="Arial" w:cs="Arial"/>
                <w:sz w:val="20"/>
                <w:szCs w:val="20"/>
                <w:lang w:val="en-US"/>
              </w:rPr>
            </w:pPr>
            <w:r w:rsidRPr="005E77C9">
              <w:rPr>
                <w:rFonts w:ascii="Arial" w:hAnsi="Arial" w:cs="Arial"/>
                <w:sz w:val="20"/>
                <w:szCs w:val="20"/>
                <w:lang w:val="en-US"/>
              </w:rPr>
              <w:t>24.47</w:t>
            </w:r>
          </w:p>
        </w:tc>
      </w:tr>
      <w:tr w:rsidR="003777D2" w:rsidRPr="005E77C9" w:rsidTr="003777D2">
        <w:trPr>
          <w:cnfStyle w:val="000000100000" w:firstRow="0" w:lastRow="0" w:firstColumn="0" w:lastColumn="0" w:oddVBand="0" w:evenVBand="0" w:oddHBand="1" w:evenHBand="0" w:firstRowFirstColumn="0" w:firstRowLastColumn="0" w:lastRowFirstColumn="0" w:lastRowLastColumn="0"/>
          <w:trHeight w:val="315"/>
        </w:trPr>
        <w:tc>
          <w:tcPr>
            <w:tcW w:w="3261" w:type="dxa"/>
            <w:vMerge/>
            <w:vAlign w:val="center"/>
          </w:tcPr>
          <w:p w:rsidR="003777D2" w:rsidRPr="005E77C9" w:rsidRDefault="003777D2" w:rsidP="003777D2">
            <w:pPr>
              <w:rPr>
                <w:rFonts w:ascii="Arial" w:eastAsia="Times New Roman" w:hAnsi="Arial" w:cs="Arial"/>
                <w:sz w:val="20"/>
                <w:szCs w:val="20"/>
                <w:lang w:eastAsia="bg-BG"/>
              </w:rPr>
            </w:pPr>
          </w:p>
        </w:tc>
        <w:tc>
          <w:tcPr>
            <w:tcW w:w="3682" w:type="dxa"/>
            <w:shd w:val="clear" w:color="auto" w:fill="D9D9D9" w:themeFill="background1" w:themeFillShade="D9"/>
          </w:tcPr>
          <w:p w:rsidR="003777D2" w:rsidRPr="005E77C9" w:rsidRDefault="003777D2" w:rsidP="00361FC0">
            <w:pPr>
              <w:jc w:val="center"/>
              <w:rPr>
                <w:rFonts w:ascii="Arial" w:eastAsia="Times New Roman" w:hAnsi="Arial" w:cs="Arial"/>
                <w:sz w:val="20"/>
                <w:szCs w:val="20"/>
                <w:lang w:eastAsia="bg-BG"/>
              </w:rPr>
            </w:pPr>
            <w:r w:rsidRPr="005E77C9">
              <w:rPr>
                <w:rFonts w:ascii="Arial" w:hAnsi="Arial" w:cs="Arial"/>
                <w:sz w:val="20"/>
                <w:szCs w:val="20"/>
              </w:rPr>
              <w:t>Краткосрочни задължения</w:t>
            </w:r>
          </w:p>
        </w:tc>
        <w:tc>
          <w:tcPr>
            <w:tcW w:w="995" w:type="dxa"/>
            <w:vMerge/>
            <w:vAlign w:val="center"/>
          </w:tcPr>
          <w:p w:rsidR="003777D2" w:rsidRPr="005E77C9" w:rsidRDefault="003777D2" w:rsidP="003777D2">
            <w:pPr>
              <w:jc w:val="right"/>
              <w:rPr>
                <w:rFonts w:ascii="Arial" w:eastAsia="Times New Roman" w:hAnsi="Arial" w:cs="Arial"/>
                <w:sz w:val="20"/>
                <w:szCs w:val="20"/>
                <w:lang w:eastAsia="bg-BG"/>
              </w:rPr>
            </w:pPr>
          </w:p>
        </w:tc>
        <w:tc>
          <w:tcPr>
            <w:tcW w:w="885" w:type="dxa"/>
            <w:vMerge/>
            <w:vAlign w:val="center"/>
          </w:tcPr>
          <w:p w:rsidR="003777D2" w:rsidRPr="005E77C9" w:rsidRDefault="003777D2" w:rsidP="003777D2">
            <w:pPr>
              <w:jc w:val="right"/>
              <w:rPr>
                <w:rFonts w:ascii="Arial" w:eastAsia="Times New Roman" w:hAnsi="Arial" w:cs="Arial"/>
                <w:sz w:val="20"/>
                <w:szCs w:val="20"/>
                <w:lang w:eastAsia="bg-BG"/>
              </w:rPr>
            </w:pPr>
          </w:p>
        </w:tc>
        <w:tc>
          <w:tcPr>
            <w:tcW w:w="900" w:type="dxa"/>
            <w:vMerge/>
            <w:vAlign w:val="center"/>
          </w:tcPr>
          <w:p w:rsidR="003777D2" w:rsidRPr="005E77C9" w:rsidRDefault="003777D2" w:rsidP="003777D2">
            <w:pPr>
              <w:jc w:val="right"/>
              <w:rPr>
                <w:rFonts w:ascii="Arial" w:eastAsia="Times New Roman" w:hAnsi="Arial" w:cs="Arial"/>
                <w:sz w:val="20"/>
                <w:szCs w:val="20"/>
                <w:lang w:eastAsia="bg-BG"/>
              </w:rPr>
            </w:pPr>
          </w:p>
        </w:tc>
      </w:tr>
      <w:tr w:rsidR="003777D2" w:rsidRPr="005E77C9" w:rsidTr="003777D2">
        <w:trPr>
          <w:cnfStyle w:val="000000010000" w:firstRow="0" w:lastRow="0" w:firstColumn="0" w:lastColumn="0" w:oddVBand="0" w:evenVBand="0" w:oddHBand="0" w:evenHBand="1" w:firstRowFirstColumn="0" w:firstRowLastColumn="0" w:lastRowFirstColumn="0" w:lastRowLastColumn="0"/>
          <w:trHeight w:val="315"/>
        </w:trPr>
        <w:tc>
          <w:tcPr>
            <w:tcW w:w="3261" w:type="dxa"/>
            <w:vMerge w:val="restart"/>
            <w:shd w:val="clear" w:color="auto" w:fill="F2F2F2" w:themeFill="background1" w:themeFillShade="F2"/>
            <w:vAlign w:val="center"/>
          </w:tcPr>
          <w:p w:rsidR="003777D2" w:rsidRPr="005E77C9" w:rsidRDefault="003777D2" w:rsidP="003777D2">
            <w:pPr>
              <w:rPr>
                <w:rFonts w:ascii="Arial" w:hAnsi="Arial" w:cs="Arial"/>
                <w:sz w:val="20"/>
                <w:szCs w:val="20"/>
              </w:rPr>
            </w:pPr>
            <w:r w:rsidRPr="005E77C9">
              <w:rPr>
                <w:rFonts w:ascii="Arial" w:hAnsi="Arial" w:cs="Arial"/>
                <w:sz w:val="20"/>
                <w:szCs w:val="20"/>
              </w:rPr>
              <w:t>2. Кф. на бърза ликвидност (quick ratio)</w:t>
            </w:r>
          </w:p>
        </w:tc>
        <w:tc>
          <w:tcPr>
            <w:tcW w:w="3682" w:type="dxa"/>
            <w:shd w:val="clear" w:color="auto" w:fill="F2F2F2" w:themeFill="background1" w:themeFillShade="F2"/>
            <w:vAlign w:val="bottom"/>
          </w:tcPr>
          <w:p w:rsidR="003777D2" w:rsidRPr="005E77C9" w:rsidRDefault="003777D2" w:rsidP="003777D2">
            <w:pPr>
              <w:jc w:val="center"/>
              <w:rPr>
                <w:rFonts w:ascii="Arial" w:hAnsi="Arial" w:cs="Arial"/>
                <w:sz w:val="20"/>
                <w:szCs w:val="20"/>
              </w:rPr>
            </w:pPr>
            <w:r w:rsidRPr="005E77C9">
              <w:rPr>
                <w:rFonts w:ascii="Arial" w:hAnsi="Arial" w:cs="Arial"/>
                <w:sz w:val="20"/>
                <w:szCs w:val="20"/>
              </w:rPr>
              <w:t>Краткотрайни активи - Мат.запаси</w:t>
            </w:r>
          </w:p>
        </w:tc>
        <w:tc>
          <w:tcPr>
            <w:tcW w:w="995" w:type="dxa"/>
            <w:vMerge w:val="restart"/>
            <w:shd w:val="clear" w:color="auto" w:fill="F2F2F2" w:themeFill="background1" w:themeFillShade="F2"/>
            <w:noWrap/>
            <w:vAlign w:val="center"/>
          </w:tcPr>
          <w:p w:rsidR="003777D2" w:rsidRPr="005E77C9" w:rsidRDefault="000C59F7" w:rsidP="008017F0">
            <w:pPr>
              <w:jc w:val="right"/>
              <w:rPr>
                <w:rFonts w:ascii="Arial" w:hAnsi="Arial" w:cs="Arial"/>
                <w:sz w:val="20"/>
                <w:szCs w:val="20"/>
                <w:lang w:val="en-US"/>
              </w:rPr>
            </w:pPr>
            <w:r w:rsidRPr="005E77C9">
              <w:rPr>
                <w:rFonts w:ascii="Arial" w:hAnsi="Arial" w:cs="Arial"/>
                <w:sz w:val="20"/>
                <w:szCs w:val="20"/>
                <w:lang w:val="en-US"/>
              </w:rPr>
              <w:t>25.22</w:t>
            </w:r>
          </w:p>
        </w:tc>
        <w:tc>
          <w:tcPr>
            <w:tcW w:w="885" w:type="dxa"/>
            <w:vMerge w:val="restart"/>
            <w:shd w:val="clear" w:color="auto" w:fill="F2F2F2" w:themeFill="background1" w:themeFillShade="F2"/>
            <w:noWrap/>
            <w:vAlign w:val="center"/>
          </w:tcPr>
          <w:p w:rsidR="003777D2" w:rsidRPr="005E77C9" w:rsidRDefault="000C59F7" w:rsidP="008017F0">
            <w:pPr>
              <w:jc w:val="right"/>
              <w:rPr>
                <w:rFonts w:ascii="Arial" w:hAnsi="Arial" w:cs="Arial"/>
                <w:sz w:val="20"/>
                <w:szCs w:val="20"/>
                <w:lang w:val="en-US"/>
              </w:rPr>
            </w:pPr>
            <w:r w:rsidRPr="005E77C9">
              <w:rPr>
                <w:rFonts w:ascii="Arial" w:hAnsi="Arial" w:cs="Arial"/>
                <w:sz w:val="20"/>
                <w:szCs w:val="20"/>
                <w:lang w:val="en-US"/>
              </w:rPr>
              <w:t>23.96</w:t>
            </w:r>
          </w:p>
        </w:tc>
        <w:tc>
          <w:tcPr>
            <w:tcW w:w="900" w:type="dxa"/>
            <w:vMerge w:val="restart"/>
            <w:shd w:val="clear" w:color="auto" w:fill="F2F2F2" w:themeFill="background1" w:themeFillShade="F2"/>
            <w:noWrap/>
            <w:vAlign w:val="center"/>
          </w:tcPr>
          <w:p w:rsidR="003777D2" w:rsidRPr="005E77C9" w:rsidRDefault="000C59F7" w:rsidP="003777D2">
            <w:pPr>
              <w:jc w:val="right"/>
              <w:rPr>
                <w:rFonts w:ascii="Arial" w:hAnsi="Arial" w:cs="Arial"/>
                <w:sz w:val="20"/>
                <w:szCs w:val="20"/>
                <w:lang w:val="en-US"/>
              </w:rPr>
            </w:pPr>
            <w:r w:rsidRPr="005E77C9">
              <w:rPr>
                <w:rFonts w:ascii="Arial" w:hAnsi="Arial" w:cs="Arial"/>
                <w:sz w:val="20"/>
                <w:szCs w:val="20"/>
                <w:lang w:val="en-US"/>
              </w:rPr>
              <w:t>24.24</w:t>
            </w:r>
          </w:p>
        </w:tc>
      </w:tr>
      <w:tr w:rsidR="003777D2" w:rsidRPr="005E77C9" w:rsidTr="003777D2">
        <w:trPr>
          <w:cnfStyle w:val="000000100000" w:firstRow="0" w:lastRow="0" w:firstColumn="0" w:lastColumn="0" w:oddVBand="0" w:evenVBand="0" w:oddHBand="1" w:evenHBand="0" w:firstRowFirstColumn="0" w:firstRowLastColumn="0" w:lastRowFirstColumn="0" w:lastRowLastColumn="0"/>
          <w:trHeight w:val="315"/>
        </w:trPr>
        <w:tc>
          <w:tcPr>
            <w:tcW w:w="3261" w:type="dxa"/>
            <w:vMerge/>
            <w:vAlign w:val="center"/>
          </w:tcPr>
          <w:p w:rsidR="003777D2" w:rsidRPr="005E77C9" w:rsidRDefault="003777D2" w:rsidP="003777D2">
            <w:pPr>
              <w:rPr>
                <w:rFonts w:ascii="Arial" w:eastAsia="Times New Roman" w:hAnsi="Arial" w:cs="Arial"/>
                <w:sz w:val="20"/>
                <w:szCs w:val="20"/>
                <w:lang w:eastAsia="bg-BG"/>
              </w:rPr>
            </w:pPr>
          </w:p>
        </w:tc>
        <w:tc>
          <w:tcPr>
            <w:tcW w:w="3682" w:type="dxa"/>
            <w:shd w:val="clear" w:color="auto" w:fill="F2F2F2" w:themeFill="background1" w:themeFillShade="F2"/>
          </w:tcPr>
          <w:p w:rsidR="003777D2" w:rsidRPr="005E77C9" w:rsidRDefault="003777D2" w:rsidP="00361FC0">
            <w:pPr>
              <w:jc w:val="center"/>
              <w:rPr>
                <w:rFonts w:ascii="Arial" w:eastAsia="Times New Roman" w:hAnsi="Arial" w:cs="Arial"/>
                <w:sz w:val="20"/>
                <w:szCs w:val="20"/>
                <w:lang w:eastAsia="bg-BG"/>
              </w:rPr>
            </w:pPr>
            <w:r w:rsidRPr="005E77C9">
              <w:rPr>
                <w:rFonts w:ascii="Arial" w:hAnsi="Arial" w:cs="Arial"/>
                <w:sz w:val="20"/>
                <w:szCs w:val="20"/>
              </w:rPr>
              <w:t>Краткосрочни задължения</w:t>
            </w:r>
          </w:p>
        </w:tc>
        <w:tc>
          <w:tcPr>
            <w:tcW w:w="995" w:type="dxa"/>
            <w:vMerge/>
            <w:vAlign w:val="center"/>
          </w:tcPr>
          <w:p w:rsidR="003777D2" w:rsidRPr="005E77C9" w:rsidRDefault="003777D2" w:rsidP="003777D2">
            <w:pPr>
              <w:jc w:val="right"/>
              <w:rPr>
                <w:rFonts w:ascii="Arial" w:eastAsia="Times New Roman" w:hAnsi="Arial" w:cs="Arial"/>
                <w:sz w:val="20"/>
                <w:szCs w:val="20"/>
                <w:lang w:eastAsia="bg-BG"/>
              </w:rPr>
            </w:pPr>
          </w:p>
        </w:tc>
        <w:tc>
          <w:tcPr>
            <w:tcW w:w="885" w:type="dxa"/>
            <w:vMerge/>
            <w:vAlign w:val="center"/>
          </w:tcPr>
          <w:p w:rsidR="003777D2" w:rsidRPr="005E77C9" w:rsidRDefault="003777D2" w:rsidP="003777D2">
            <w:pPr>
              <w:jc w:val="right"/>
              <w:rPr>
                <w:rFonts w:ascii="Arial" w:eastAsia="Times New Roman" w:hAnsi="Arial" w:cs="Arial"/>
                <w:sz w:val="20"/>
                <w:szCs w:val="20"/>
                <w:lang w:eastAsia="bg-BG"/>
              </w:rPr>
            </w:pPr>
          </w:p>
        </w:tc>
        <w:tc>
          <w:tcPr>
            <w:tcW w:w="900" w:type="dxa"/>
            <w:vMerge/>
            <w:vAlign w:val="center"/>
          </w:tcPr>
          <w:p w:rsidR="003777D2" w:rsidRPr="005E77C9" w:rsidRDefault="003777D2" w:rsidP="003777D2">
            <w:pPr>
              <w:jc w:val="right"/>
              <w:rPr>
                <w:rFonts w:ascii="Arial" w:eastAsia="Times New Roman" w:hAnsi="Arial" w:cs="Arial"/>
                <w:sz w:val="20"/>
                <w:szCs w:val="20"/>
                <w:lang w:eastAsia="bg-BG"/>
              </w:rPr>
            </w:pPr>
          </w:p>
        </w:tc>
      </w:tr>
      <w:tr w:rsidR="003777D2" w:rsidRPr="005E77C9" w:rsidTr="003777D2">
        <w:trPr>
          <w:cnfStyle w:val="000000010000" w:firstRow="0" w:lastRow="0" w:firstColumn="0" w:lastColumn="0" w:oddVBand="0" w:evenVBand="0" w:oddHBand="0" w:evenHBand="1" w:firstRowFirstColumn="0" w:firstRowLastColumn="0" w:lastRowFirstColumn="0" w:lastRowLastColumn="0"/>
          <w:trHeight w:val="315"/>
        </w:trPr>
        <w:tc>
          <w:tcPr>
            <w:tcW w:w="3261" w:type="dxa"/>
            <w:vMerge w:val="restart"/>
            <w:shd w:val="clear" w:color="auto" w:fill="D9D9D9" w:themeFill="background1" w:themeFillShade="D9"/>
            <w:vAlign w:val="center"/>
          </w:tcPr>
          <w:p w:rsidR="003777D2" w:rsidRPr="005E77C9" w:rsidRDefault="003777D2" w:rsidP="003777D2">
            <w:pPr>
              <w:rPr>
                <w:rFonts w:ascii="Arial" w:hAnsi="Arial" w:cs="Arial"/>
                <w:sz w:val="20"/>
                <w:szCs w:val="20"/>
              </w:rPr>
            </w:pPr>
            <w:r w:rsidRPr="005E77C9">
              <w:rPr>
                <w:rFonts w:ascii="Arial" w:hAnsi="Arial" w:cs="Arial"/>
                <w:sz w:val="20"/>
                <w:szCs w:val="20"/>
              </w:rPr>
              <w:t>3. Кф. на незабавна/финансова ликвидност (Cash position ratio)</w:t>
            </w:r>
          </w:p>
        </w:tc>
        <w:tc>
          <w:tcPr>
            <w:tcW w:w="3682" w:type="dxa"/>
            <w:shd w:val="clear" w:color="auto" w:fill="D9D9D9" w:themeFill="background1" w:themeFillShade="D9"/>
            <w:vAlign w:val="bottom"/>
          </w:tcPr>
          <w:p w:rsidR="003777D2" w:rsidRPr="005E77C9" w:rsidRDefault="003777D2" w:rsidP="003777D2">
            <w:pPr>
              <w:jc w:val="center"/>
              <w:rPr>
                <w:rFonts w:ascii="Arial" w:hAnsi="Arial" w:cs="Arial"/>
                <w:sz w:val="20"/>
                <w:szCs w:val="20"/>
              </w:rPr>
            </w:pPr>
            <w:r w:rsidRPr="005E77C9">
              <w:rPr>
                <w:rFonts w:ascii="Arial" w:hAnsi="Arial" w:cs="Arial"/>
                <w:sz w:val="20"/>
                <w:szCs w:val="20"/>
              </w:rPr>
              <w:t>Кр.фин.актив + Парични ср-ва</w:t>
            </w:r>
          </w:p>
        </w:tc>
        <w:tc>
          <w:tcPr>
            <w:tcW w:w="995" w:type="dxa"/>
            <w:vMerge w:val="restart"/>
            <w:shd w:val="clear" w:color="auto" w:fill="D9D9D9" w:themeFill="background1" w:themeFillShade="D9"/>
            <w:noWrap/>
            <w:vAlign w:val="center"/>
          </w:tcPr>
          <w:p w:rsidR="003777D2" w:rsidRPr="005E77C9" w:rsidRDefault="000C59F7" w:rsidP="008017F0">
            <w:pPr>
              <w:jc w:val="right"/>
              <w:rPr>
                <w:rFonts w:ascii="Arial" w:hAnsi="Arial" w:cs="Arial"/>
                <w:sz w:val="20"/>
                <w:szCs w:val="20"/>
                <w:lang w:val="en-US"/>
              </w:rPr>
            </w:pPr>
            <w:r w:rsidRPr="005E77C9">
              <w:rPr>
                <w:rFonts w:ascii="Arial" w:hAnsi="Arial" w:cs="Arial"/>
                <w:sz w:val="20"/>
                <w:szCs w:val="20"/>
                <w:lang w:val="en-US"/>
              </w:rPr>
              <w:t>19.51</w:t>
            </w:r>
          </w:p>
        </w:tc>
        <w:tc>
          <w:tcPr>
            <w:tcW w:w="885" w:type="dxa"/>
            <w:vMerge w:val="restart"/>
            <w:shd w:val="clear" w:color="auto" w:fill="D9D9D9" w:themeFill="background1" w:themeFillShade="D9"/>
            <w:noWrap/>
            <w:vAlign w:val="center"/>
          </w:tcPr>
          <w:p w:rsidR="003777D2" w:rsidRPr="005E77C9" w:rsidRDefault="000C59F7" w:rsidP="008017F0">
            <w:pPr>
              <w:jc w:val="right"/>
              <w:rPr>
                <w:rFonts w:ascii="Arial" w:hAnsi="Arial" w:cs="Arial"/>
                <w:sz w:val="20"/>
                <w:szCs w:val="20"/>
                <w:lang w:val="en-US"/>
              </w:rPr>
            </w:pPr>
            <w:r w:rsidRPr="005E77C9">
              <w:rPr>
                <w:rFonts w:ascii="Arial" w:hAnsi="Arial" w:cs="Arial"/>
                <w:sz w:val="20"/>
                <w:szCs w:val="20"/>
                <w:lang w:val="en-US"/>
              </w:rPr>
              <w:t>14.52</w:t>
            </w:r>
          </w:p>
        </w:tc>
        <w:tc>
          <w:tcPr>
            <w:tcW w:w="900" w:type="dxa"/>
            <w:vMerge w:val="restart"/>
            <w:shd w:val="clear" w:color="auto" w:fill="D9D9D9" w:themeFill="background1" w:themeFillShade="D9"/>
            <w:noWrap/>
            <w:vAlign w:val="center"/>
          </w:tcPr>
          <w:p w:rsidR="003777D2" w:rsidRPr="005E77C9" w:rsidRDefault="000C59F7" w:rsidP="003777D2">
            <w:pPr>
              <w:jc w:val="right"/>
              <w:rPr>
                <w:rFonts w:ascii="Arial" w:hAnsi="Arial" w:cs="Arial"/>
                <w:sz w:val="20"/>
                <w:szCs w:val="20"/>
                <w:lang w:val="en-US"/>
              </w:rPr>
            </w:pPr>
            <w:r w:rsidRPr="005E77C9">
              <w:rPr>
                <w:rFonts w:ascii="Arial" w:hAnsi="Arial" w:cs="Arial"/>
                <w:sz w:val="20"/>
                <w:szCs w:val="20"/>
                <w:lang w:val="en-US"/>
              </w:rPr>
              <w:t>18.76</w:t>
            </w:r>
          </w:p>
        </w:tc>
      </w:tr>
      <w:tr w:rsidR="003777D2" w:rsidRPr="005E77C9" w:rsidTr="003777D2">
        <w:trPr>
          <w:cnfStyle w:val="000000100000" w:firstRow="0" w:lastRow="0" w:firstColumn="0" w:lastColumn="0" w:oddVBand="0" w:evenVBand="0" w:oddHBand="1" w:evenHBand="0" w:firstRowFirstColumn="0" w:firstRowLastColumn="0" w:lastRowFirstColumn="0" w:lastRowLastColumn="0"/>
          <w:trHeight w:val="315"/>
        </w:trPr>
        <w:tc>
          <w:tcPr>
            <w:tcW w:w="3261" w:type="dxa"/>
            <w:vMerge/>
            <w:vAlign w:val="center"/>
          </w:tcPr>
          <w:p w:rsidR="003777D2" w:rsidRPr="005E77C9" w:rsidRDefault="003777D2" w:rsidP="003777D2">
            <w:pPr>
              <w:rPr>
                <w:rFonts w:ascii="Arial" w:eastAsia="Times New Roman" w:hAnsi="Arial" w:cs="Arial"/>
                <w:sz w:val="20"/>
                <w:szCs w:val="20"/>
                <w:lang w:eastAsia="bg-BG"/>
              </w:rPr>
            </w:pPr>
          </w:p>
        </w:tc>
        <w:tc>
          <w:tcPr>
            <w:tcW w:w="3682" w:type="dxa"/>
            <w:shd w:val="clear" w:color="auto" w:fill="D9D9D9" w:themeFill="background1" w:themeFillShade="D9"/>
          </w:tcPr>
          <w:p w:rsidR="003777D2" w:rsidRPr="005E77C9" w:rsidRDefault="003777D2" w:rsidP="00361FC0">
            <w:pPr>
              <w:jc w:val="center"/>
              <w:rPr>
                <w:rFonts w:ascii="Arial" w:eastAsia="Times New Roman" w:hAnsi="Arial" w:cs="Arial"/>
                <w:sz w:val="20"/>
                <w:szCs w:val="20"/>
                <w:lang w:eastAsia="bg-BG"/>
              </w:rPr>
            </w:pPr>
            <w:r w:rsidRPr="005E77C9">
              <w:rPr>
                <w:rFonts w:ascii="Arial" w:hAnsi="Arial" w:cs="Arial"/>
                <w:sz w:val="20"/>
                <w:szCs w:val="20"/>
              </w:rPr>
              <w:t>Краткосрочни задължения</w:t>
            </w:r>
          </w:p>
        </w:tc>
        <w:tc>
          <w:tcPr>
            <w:tcW w:w="995" w:type="dxa"/>
            <w:vMerge/>
            <w:vAlign w:val="center"/>
          </w:tcPr>
          <w:p w:rsidR="003777D2" w:rsidRPr="005E77C9" w:rsidRDefault="003777D2" w:rsidP="003777D2">
            <w:pPr>
              <w:jc w:val="right"/>
              <w:rPr>
                <w:rFonts w:ascii="Arial" w:eastAsia="Times New Roman" w:hAnsi="Arial" w:cs="Arial"/>
                <w:sz w:val="20"/>
                <w:szCs w:val="20"/>
                <w:lang w:eastAsia="bg-BG"/>
              </w:rPr>
            </w:pPr>
          </w:p>
        </w:tc>
        <w:tc>
          <w:tcPr>
            <w:tcW w:w="885" w:type="dxa"/>
            <w:vMerge/>
            <w:vAlign w:val="center"/>
          </w:tcPr>
          <w:p w:rsidR="003777D2" w:rsidRPr="005E77C9" w:rsidRDefault="003777D2" w:rsidP="003777D2">
            <w:pPr>
              <w:jc w:val="right"/>
              <w:rPr>
                <w:rFonts w:ascii="Arial" w:eastAsia="Times New Roman" w:hAnsi="Arial" w:cs="Arial"/>
                <w:sz w:val="20"/>
                <w:szCs w:val="20"/>
                <w:lang w:eastAsia="bg-BG"/>
              </w:rPr>
            </w:pPr>
          </w:p>
        </w:tc>
        <w:tc>
          <w:tcPr>
            <w:tcW w:w="900" w:type="dxa"/>
            <w:vMerge/>
            <w:vAlign w:val="center"/>
          </w:tcPr>
          <w:p w:rsidR="003777D2" w:rsidRPr="005E77C9" w:rsidRDefault="003777D2" w:rsidP="003777D2">
            <w:pPr>
              <w:jc w:val="right"/>
              <w:rPr>
                <w:rFonts w:ascii="Arial" w:eastAsia="Times New Roman" w:hAnsi="Arial" w:cs="Arial"/>
                <w:sz w:val="20"/>
                <w:szCs w:val="20"/>
                <w:lang w:eastAsia="bg-BG"/>
              </w:rPr>
            </w:pPr>
          </w:p>
        </w:tc>
      </w:tr>
      <w:tr w:rsidR="003777D2" w:rsidRPr="005E77C9" w:rsidTr="003777D2">
        <w:trPr>
          <w:cnfStyle w:val="000000010000" w:firstRow="0" w:lastRow="0" w:firstColumn="0" w:lastColumn="0" w:oddVBand="0" w:evenVBand="0" w:oddHBand="0" w:evenHBand="1" w:firstRowFirstColumn="0" w:firstRowLastColumn="0" w:lastRowFirstColumn="0" w:lastRowLastColumn="0"/>
          <w:trHeight w:val="315"/>
        </w:trPr>
        <w:tc>
          <w:tcPr>
            <w:tcW w:w="3261" w:type="dxa"/>
            <w:vMerge w:val="restart"/>
            <w:shd w:val="clear" w:color="auto" w:fill="F2F2F2" w:themeFill="background1" w:themeFillShade="F2"/>
            <w:vAlign w:val="center"/>
          </w:tcPr>
          <w:p w:rsidR="003777D2" w:rsidRPr="005E77C9" w:rsidRDefault="003777D2" w:rsidP="003777D2">
            <w:pPr>
              <w:rPr>
                <w:rFonts w:ascii="Arial" w:hAnsi="Arial" w:cs="Arial"/>
                <w:sz w:val="20"/>
                <w:szCs w:val="20"/>
              </w:rPr>
            </w:pPr>
            <w:r w:rsidRPr="005E77C9">
              <w:rPr>
                <w:rFonts w:ascii="Arial" w:hAnsi="Arial" w:cs="Arial"/>
                <w:sz w:val="20"/>
                <w:szCs w:val="20"/>
              </w:rPr>
              <w:t>4. Кф. на абсолютна ликвидност</w:t>
            </w:r>
          </w:p>
        </w:tc>
        <w:tc>
          <w:tcPr>
            <w:tcW w:w="3682" w:type="dxa"/>
            <w:shd w:val="clear" w:color="auto" w:fill="F2F2F2" w:themeFill="background1" w:themeFillShade="F2"/>
            <w:vAlign w:val="bottom"/>
          </w:tcPr>
          <w:p w:rsidR="003777D2" w:rsidRPr="005E77C9" w:rsidRDefault="003777D2" w:rsidP="003777D2">
            <w:pPr>
              <w:jc w:val="center"/>
              <w:rPr>
                <w:rFonts w:ascii="Arial" w:hAnsi="Arial" w:cs="Arial"/>
                <w:sz w:val="20"/>
                <w:szCs w:val="20"/>
              </w:rPr>
            </w:pPr>
            <w:r w:rsidRPr="005E77C9">
              <w:rPr>
                <w:rFonts w:ascii="Arial" w:hAnsi="Arial" w:cs="Arial"/>
                <w:sz w:val="20"/>
                <w:szCs w:val="20"/>
              </w:rPr>
              <w:t>Парични средства</w:t>
            </w:r>
          </w:p>
        </w:tc>
        <w:tc>
          <w:tcPr>
            <w:tcW w:w="995" w:type="dxa"/>
            <w:vMerge w:val="restart"/>
            <w:shd w:val="clear" w:color="auto" w:fill="F2F2F2" w:themeFill="background1" w:themeFillShade="F2"/>
            <w:noWrap/>
            <w:vAlign w:val="center"/>
          </w:tcPr>
          <w:p w:rsidR="003777D2" w:rsidRPr="005E77C9" w:rsidRDefault="000C59F7" w:rsidP="008017F0">
            <w:pPr>
              <w:jc w:val="right"/>
              <w:rPr>
                <w:rFonts w:ascii="Arial" w:hAnsi="Arial" w:cs="Arial"/>
                <w:sz w:val="20"/>
                <w:szCs w:val="20"/>
                <w:lang w:val="en-US"/>
              </w:rPr>
            </w:pPr>
            <w:r w:rsidRPr="005E77C9">
              <w:rPr>
                <w:rFonts w:ascii="Arial" w:hAnsi="Arial" w:cs="Arial"/>
                <w:sz w:val="20"/>
                <w:szCs w:val="20"/>
                <w:lang w:val="en-US"/>
              </w:rPr>
              <w:t>19.51</w:t>
            </w:r>
          </w:p>
        </w:tc>
        <w:tc>
          <w:tcPr>
            <w:tcW w:w="885" w:type="dxa"/>
            <w:vMerge w:val="restart"/>
            <w:shd w:val="clear" w:color="auto" w:fill="F2F2F2" w:themeFill="background1" w:themeFillShade="F2"/>
            <w:noWrap/>
            <w:vAlign w:val="center"/>
          </w:tcPr>
          <w:p w:rsidR="003777D2" w:rsidRPr="005E77C9" w:rsidRDefault="000C59F7" w:rsidP="008017F0">
            <w:pPr>
              <w:jc w:val="right"/>
              <w:rPr>
                <w:rFonts w:ascii="Arial" w:hAnsi="Arial" w:cs="Arial"/>
                <w:sz w:val="20"/>
                <w:szCs w:val="20"/>
                <w:lang w:val="en-US"/>
              </w:rPr>
            </w:pPr>
            <w:r w:rsidRPr="005E77C9">
              <w:rPr>
                <w:rFonts w:ascii="Arial" w:hAnsi="Arial" w:cs="Arial"/>
                <w:sz w:val="20"/>
                <w:szCs w:val="20"/>
                <w:lang w:val="en-US"/>
              </w:rPr>
              <w:t>14.52</w:t>
            </w:r>
          </w:p>
        </w:tc>
        <w:tc>
          <w:tcPr>
            <w:tcW w:w="900" w:type="dxa"/>
            <w:vMerge w:val="restart"/>
            <w:shd w:val="clear" w:color="auto" w:fill="F2F2F2" w:themeFill="background1" w:themeFillShade="F2"/>
            <w:noWrap/>
            <w:vAlign w:val="center"/>
          </w:tcPr>
          <w:p w:rsidR="003777D2" w:rsidRPr="005E77C9" w:rsidRDefault="000C59F7" w:rsidP="003777D2">
            <w:pPr>
              <w:jc w:val="right"/>
              <w:rPr>
                <w:rFonts w:ascii="Arial" w:hAnsi="Arial" w:cs="Arial"/>
                <w:sz w:val="20"/>
                <w:szCs w:val="20"/>
                <w:lang w:val="en-US"/>
              </w:rPr>
            </w:pPr>
            <w:r w:rsidRPr="005E77C9">
              <w:rPr>
                <w:rFonts w:ascii="Arial" w:hAnsi="Arial" w:cs="Arial"/>
                <w:sz w:val="20"/>
                <w:szCs w:val="20"/>
                <w:lang w:val="en-US"/>
              </w:rPr>
              <w:t>18.76</w:t>
            </w:r>
          </w:p>
        </w:tc>
      </w:tr>
      <w:tr w:rsidR="003777D2" w:rsidRPr="005E77C9" w:rsidTr="003777D2">
        <w:trPr>
          <w:cnfStyle w:val="000000100000" w:firstRow="0" w:lastRow="0" w:firstColumn="0" w:lastColumn="0" w:oddVBand="0" w:evenVBand="0" w:oddHBand="1" w:evenHBand="0" w:firstRowFirstColumn="0" w:firstRowLastColumn="0" w:lastRowFirstColumn="0" w:lastRowLastColumn="0"/>
          <w:trHeight w:val="315"/>
        </w:trPr>
        <w:tc>
          <w:tcPr>
            <w:tcW w:w="3261" w:type="dxa"/>
            <w:vMerge/>
            <w:vAlign w:val="center"/>
          </w:tcPr>
          <w:p w:rsidR="003777D2" w:rsidRPr="005E77C9" w:rsidRDefault="003777D2" w:rsidP="003777D2">
            <w:pPr>
              <w:rPr>
                <w:rFonts w:ascii="Arial" w:eastAsia="Times New Roman" w:hAnsi="Arial" w:cs="Arial"/>
                <w:sz w:val="20"/>
                <w:szCs w:val="20"/>
                <w:lang w:eastAsia="bg-BG"/>
              </w:rPr>
            </w:pPr>
          </w:p>
        </w:tc>
        <w:tc>
          <w:tcPr>
            <w:tcW w:w="3682" w:type="dxa"/>
            <w:shd w:val="clear" w:color="auto" w:fill="F2F2F2" w:themeFill="background1" w:themeFillShade="F2"/>
          </w:tcPr>
          <w:p w:rsidR="003777D2" w:rsidRPr="005E77C9" w:rsidRDefault="003777D2" w:rsidP="00361FC0">
            <w:pPr>
              <w:jc w:val="center"/>
              <w:rPr>
                <w:rFonts w:ascii="Arial" w:eastAsia="Times New Roman" w:hAnsi="Arial" w:cs="Arial"/>
                <w:sz w:val="20"/>
                <w:szCs w:val="20"/>
                <w:lang w:eastAsia="bg-BG"/>
              </w:rPr>
            </w:pPr>
            <w:r w:rsidRPr="005E77C9">
              <w:rPr>
                <w:rFonts w:ascii="Arial" w:hAnsi="Arial" w:cs="Arial"/>
                <w:sz w:val="20"/>
                <w:szCs w:val="20"/>
              </w:rPr>
              <w:t>Краткосрочни задължения</w:t>
            </w:r>
          </w:p>
        </w:tc>
        <w:tc>
          <w:tcPr>
            <w:tcW w:w="995" w:type="dxa"/>
            <w:vMerge/>
            <w:vAlign w:val="center"/>
          </w:tcPr>
          <w:p w:rsidR="003777D2" w:rsidRPr="005E77C9" w:rsidRDefault="003777D2" w:rsidP="003777D2">
            <w:pPr>
              <w:jc w:val="right"/>
              <w:rPr>
                <w:rFonts w:ascii="Arial" w:eastAsia="Times New Roman" w:hAnsi="Arial" w:cs="Arial"/>
                <w:sz w:val="20"/>
                <w:szCs w:val="20"/>
                <w:lang w:eastAsia="bg-BG"/>
              </w:rPr>
            </w:pPr>
          </w:p>
        </w:tc>
        <w:tc>
          <w:tcPr>
            <w:tcW w:w="885" w:type="dxa"/>
            <w:vMerge/>
            <w:vAlign w:val="center"/>
          </w:tcPr>
          <w:p w:rsidR="003777D2" w:rsidRPr="005E77C9" w:rsidRDefault="003777D2" w:rsidP="003777D2">
            <w:pPr>
              <w:jc w:val="right"/>
              <w:rPr>
                <w:rFonts w:ascii="Arial" w:eastAsia="Times New Roman" w:hAnsi="Arial" w:cs="Arial"/>
                <w:sz w:val="20"/>
                <w:szCs w:val="20"/>
                <w:lang w:eastAsia="bg-BG"/>
              </w:rPr>
            </w:pPr>
          </w:p>
        </w:tc>
        <w:tc>
          <w:tcPr>
            <w:tcW w:w="900" w:type="dxa"/>
            <w:vMerge/>
            <w:vAlign w:val="center"/>
          </w:tcPr>
          <w:p w:rsidR="003777D2" w:rsidRPr="005E77C9" w:rsidRDefault="003777D2" w:rsidP="003777D2">
            <w:pPr>
              <w:jc w:val="right"/>
              <w:rPr>
                <w:rFonts w:ascii="Arial" w:eastAsia="Times New Roman" w:hAnsi="Arial" w:cs="Arial"/>
                <w:sz w:val="20"/>
                <w:szCs w:val="20"/>
                <w:lang w:eastAsia="bg-BG"/>
              </w:rPr>
            </w:pPr>
          </w:p>
        </w:tc>
      </w:tr>
      <w:tr w:rsidR="003777D2" w:rsidRPr="005E77C9" w:rsidTr="003777D2">
        <w:trPr>
          <w:cnfStyle w:val="000000010000" w:firstRow="0" w:lastRow="0" w:firstColumn="0" w:lastColumn="0" w:oddVBand="0" w:evenVBand="0" w:oddHBand="0" w:evenHBand="1" w:firstRowFirstColumn="0" w:firstRowLastColumn="0" w:lastRowFirstColumn="0" w:lastRowLastColumn="0"/>
          <w:trHeight w:val="315"/>
        </w:trPr>
        <w:tc>
          <w:tcPr>
            <w:tcW w:w="3261" w:type="dxa"/>
            <w:vMerge w:val="restart"/>
            <w:shd w:val="clear" w:color="auto" w:fill="D9D9D9" w:themeFill="background1" w:themeFillShade="D9"/>
            <w:vAlign w:val="center"/>
          </w:tcPr>
          <w:p w:rsidR="003777D2" w:rsidRPr="005E77C9" w:rsidRDefault="003777D2" w:rsidP="003777D2">
            <w:pPr>
              <w:rPr>
                <w:rFonts w:ascii="Arial" w:hAnsi="Arial" w:cs="Arial"/>
                <w:sz w:val="20"/>
                <w:szCs w:val="20"/>
              </w:rPr>
            </w:pPr>
            <w:r w:rsidRPr="005E77C9">
              <w:rPr>
                <w:rFonts w:ascii="Arial" w:hAnsi="Arial" w:cs="Arial"/>
                <w:sz w:val="20"/>
                <w:szCs w:val="20"/>
              </w:rPr>
              <w:t>Нетен оборотен капитал -хил.лв. (Net Working Capital)</w:t>
            </w:r>
          </w:p>
        </w:tc>
        <w:tc>
          <w:tcPr>
            <w:tcW w:w="3682" w:type="dxa"/>
            <w:shd w:val="clear" w:color="auto" w:fill="D9D9D9" w:themeFill="background1" w:themeFillShade="D9"/>
            <w:vAlign w:val="bottom"/>
          </w:tcPr>
          <w:p w:rsidR="003777D2" w:rsidRPr="005E77C9" w:rsidRDefault="003777D2" w:rsidP="003777D2">
            <w:pPr>
              <w:jc w:val="center"/>
              <w:rPr>
                <w:rFonts w:ascii="Arial" w:hAnsi="Arial" w:cs="Arial"/>
                <w:sz w:val="20"/>
                <w:szCs w:val="20"/>
              </w:rPr>
            </w:pPr>
            <w:r w:rsidRPr="005E77C9">
              <w:rPr>
                <w:rFonts w:ascii="Arial" w:hAnsi="Arial" w:cs="Arial"/>
                <w:sz w:val="20"/>
                <w:szCs w:val="20"/>
              </w:rPr>
              <w:t>Краткотрайни активи</w:t>
            </w:r>
          </w:p>
        </w:tc>
        <w:tc>
          <w:tcPr>
            <w:tcW w:w="995" w:type="dxa"/>
            <w:vMerge w:val="restart"/>
            <w:shd w:val="clear" w:color="auto" w:fill="D9D9D9" w:themeFill="background1" w:themeFillShade="D9"/>
            <w:noWrap/>
            <w:vAlign w:val="center"/>
          </w:tcPr>
          <w:p w:rsidR="003777D2" w:rsidRPr="005E77C9" w:rsidRDefault="003777D2" w:rsidP="008017F0">
            <w:pPr>
              <w:jc w:val="right"/>
              <w:rPr>
                <w:rFonts w:ascii="Arial" w:hAnsi="Arial" w:cs="Arial"/>
                <w:sz w:val="20"/>
                <w:szCs w:val="20"/>
                <w:lang w:val="en-US"/>
              </w:rPr>
            </w:pPr>
            <w:r w:rsidRPr="005E77C9">
              <w:rPr>
                <w:rFonts w:ascii="Arial" w:hAnsi="Arial" w:cs="Arial"/>
                <w:sz w:val="20"/>
                <w:szCs w:val="20"/>
              </w:rPr>
              <w:t>1</w:t>
            </w:r>
            <w:r w:rsidR="008017F0" w:rsidRPr="005E77C9">
              <w:rPr>
                <w:rFonts w:ascii="Arial" w:hAnsi="Arial" w:cs="Arial"/>
                <w:sz w:val="20"/>
                <w:szCs w:val="20"/>
              </w:rPr>
              <w:t>1</w:t>
            </w:r>
            <w:r w:rsidRPr="005E77C9">
              <w:rPr>
                <w:rFonts w:ascii="Arial" w:hAnsi="Arial" w:cs="Arial"/>
                <w:sz w:val="20"/>
                <w:szCs w:val="20"/>
              </w:rPr>
              <w:t xml:space="preserve"> </w:t>
            </w:r>
            <w:r w:rsidR="000C59F7" w:rsidRPr="005E77C9">
              <w:rPr>
                <w:rFonts w:ascii="Arial" w:hAnsi="Arial" w:cs="Arial"/>
                <w:sz w:val="20"/>
                <w:szCs w:val="20"/>
                <w:lang w:val="en-US"/>
              </w:rPr>
              <w:t>930</w:t>
            </w:r>
          </w:p>
        </w:tc>
        <w:tc>
          <w:tcPr>
            <w:tcW w:w="885" w:type="dxa"/>
            <w:vMerge w:val="restart"/>
            <w:shd w:val="clear" w:color="auto" w:fill="D9D9D9" w:themeFill="background1" w:themeFillShade="D9"/>
            <w:noWrap/>
            <w:vAlign w:val="center"/>
          </w:tcPr>
          <w:p w:rsidR="003777D2" w:rsidRPr="005E77C9" w:rsidRDefault="000C59F7" w:rsidP="008017F0">
            <w:pPr>
              <w:jc w:val="right"/>
              <w:rPr>
                <w:rFonts w:ascii="Arial" w:hAnsi="Arial" w:cs="Arial"/>
                <w:sz w:val="20"/>
                <w:szCs w:val="20"/>
                <w:lang w:val="en-US"/>
              </w:rPr>
            </w:pPr>
            <w:r w:rsidRPr="005E77C9">
              <w:rPr>
                <w:rFonts w:ascii="Arial" w:hAnsi="Arial" w:cs="Arial"/>
                <w:sz w:val="20"/>
                <w:szCs w:val="20"/>
                <w:lang w:val="en-US"/>
              </w:rPr>
              <w:t>11 807</w:t>
            </w:r>
          </w:p>
        </w:tc>
        <w:tc>
          <w:tcPr>
            <w:tcW w:w="900" w:type="dxa"/>
            <w:vMerge w:val="restart"/>
            <w:shd w:val="clear" w:color="auto" w:fill="D9D9D9" w:themeFill="background1" w:themeFillShade="D9"/>
            <w:noWrap/>
            <w:vAlign w:val="center"/>
          </w:tcPr>
          <w:p w:rsidR="003777D2" w:rsidRPr="005E77C9" w:rsidRDefault="000C59F7" w:rsidP="003777D2">
            <w:pPr>
              <w:jc w:val="right"/>
              <w:rPr>
                <w:rFonts w:ascii="Arial" w:hAnsi="Arial" w:cs="Arial"/>
                <w:sz w:val="20"/>
                <w:szCs w:val="20"/>
                <w:lang w:val="en-US"/>
              </w:rPr>
            </w:pPr>
            <w:r w:rsidRPr="005E77C9">
              <w:rPr>
                <w:rFonts w:ascii="Arial" w:hAnsi="Arial" w:cs="Arial"/>
                <w:sz w:val="20"/>
                <w:szCs w:val="20"/>
                <w:lang w:val="en-US"/>
              </w:rPr>
              <w:t>11 743</w:t>
            </w:r>
          </w:p>
        </w:tc>
      </w:tr>
      <w:tr w:rsidR="003777D2" w:rsidRPr="005E77C9" w:rsidTr="003777D2">
        <w:trPr>
          <w:cnfStyle w:val="000000100000" w:firstRow="0" w:lastRow="0" w:firstColumn="0" w:lastColumn="0" w:oddVBand="0" w:evenVBand="0" w:oddHBand="1" w:evenHBand="0" w:firstRowFirstColumn="0" w:firstRowLastColumn="0" w:lastRowFirstColumn="0" w:lastRowLastColumn="0"/>
          <w:trHeight w:val="315"/>
        </w:trPr>
        <w:tc>
          <w:tcPr>
            <w:tcW w:w="3261" w:type="dxa"/>
            <w:vMerge/>
          </w:tcPr>
          <w:p w:rsidR="003777D2" w:rsidRPr="005E77C9" w:rsidRDefault="003777D2" w:rsidP="00665DA4">
            <w:pPr>
              <w:rPr>
                <w:rFonts w:ascii="Arial" w:eastAsia="Times New Roman" w:hAnsi="Arial" w:cs="Arial"/>
                <w:sz w:val="20"/>
                <w:szCs w:val="20"/>
                <w:lang w:eastAsia="bg-BG"/>
              </w:rPr>
            </w:pPr>
          </w:p>
        </w:tc>
        <w:tc>
          <w:tcPr>
            <w:tcW w:w="3682" w:type="dxa"/>
            <w:shd w:val="clear" w:color="auto" w:fill="D9D9D9" w:themeFill="background1" w:themeFillShade="D9"/>
          </w:tcPr>
          <w:p w:rsidR="003777D2" w:rsidRPr="005E77C9" w:rsidRDefault="003777D2" w:rsidP="00665DA4">
            <w:pPr>
              <w:jc w:val="center"/>
              <w:rPr>
                <w:rFonts w:ascii="Arial" w:eastAsia="Times New Roman" w:hAnsi="Arial" w:cs="Arial"/>
                <w:sz w:val="20"/>
                <w:szCs w:val="20"/>
                <w:lang w:eastAsia="bg-BG"/>
              </w:rPr>
            </w:pPr>
            <w:r w:rsidRPr="005E77C9">
              <w:rPr>
                <w:rFonts w:ascii="Arial" w:eastAsia="Times New Roman" w:hAnsi="Arial" w:cs="Arial"/>
                <w:sz w:val="20"/>
                <w:szCs w:val="20"/>
                <w:lang w:eastAsia="bg-BG"/>
              </w:rPr>
              <w:t>Краткосрочни задължения</w:t>
            </w:r>
          </w:p>
        </w:tc>
        <w:tc>
          <w:tcPr>
            <w:tcW w:w="995" w:type="dxa"/>
            <w:vMerge/>
          </w:tcPr>
          <w:p w:rsidR="003777D2" w:rsidRPr="005E77C9" w:rsidRDefault="003777D2" w:rsidP="00665DA4">
            <w:pPr>
              <w:rPr>
                <w:rFonts w:ascii="Arial" w:eastAsia="Times New Roman" w:hAnsi="Arial" w:cs="Arial"/>
                <w:sz w:val="20"/>
                <w:szCs w:val="20"/>
                <w:lang w:eastAsia="bg-BG"/>
              </w:rPr>
            </w:pPr>
          </w:p>
        </w:tc>
        <w:tc>
          <w:tcPr>
            <w:tcW w:w="885" w:type="dxa"/>
            <w:vMerge/>
          </w:tcPr>
          <w:p w:rsidR="003777D2" w:rsidRPr="005E77C9" w:rsidRDefault="003777D2" w:rsidP="00665DA4">
            <w:pPr>
              <w:rPr>
                <w:rFonts w:ascii="Arial" w:eastAsia="Times New Roman" w:hAnsi="Arial" w:cs="Arial"/>
                <w:sz w:val="20"/>
                <w:szCs w:val="20"/>
                <w:lang w:eastAsia="bg-BG"/>
              </w:rPr>
            </w:pPr>
          </w:p>
        </w:tc>
        <w:tc>
          <w:tcPr>
            <w:tcW w:w="900" w:type="dxa"/>
            <w:vMerge/>
          </w:tcPr>
          <w:p w:rsidR="003777D2" w:rsidRPr="005E77C9" w:rsidRDefault="003777D2" w:rsidP="00665DA4">
            <w:pPr>
              <w:rPr>
                <w:rFonts w:ascii="Arial" w:eastAsia="Times New Roman" w:hAnsi="Arial" w:cs="Arial"/>
                <w:sz w:val="20"/>
                <w:szCs w:val="20"/>
                <w:lang w:eastAsia="bg-BG"/>
              </w:rPr>
            </w:pPr>
          </w:p>
        </w:tc>
      </w:tr>
    </w:tbl>
    <w:p w:rsidR="00B6249A" w:rsidRPr="005E77C9" w:rsidRDefault="00E622F4" w:rsidP="00B6249A">
      <w:pPr>
        <w:pStyle w:val="BodyTextIndent"/>
        <w:spacing w:before="120" w:after="120"/>
        <w:ind w:firstLine="709"/>
      </w:pPr>
      <w:r w:rsidRPr="005E77C9">
        <w:t xml:space="preserve">В края на </w:t>
      </w:r>
      <w:r w:rsidR="00B6249A" w:rsidRPr="005E77C9">
        <w:t>20</w:t>
      </w:r>
      <w:r w:rsidR="00B6249A" w:rsidRPr="005E77C9">
        <w:rPr>
          <w:lang w:val="ru-RU"/>
        </w:rPr>
        <w:t>1</w:t>
      </w:r>
      <w:r w:rsidR="009B5ACF" w:rsidRPr="005E77C9">
        <w:rPr>
          <w:lang w:val="ru-RU"/>
        </w:rPr>
        <w:t>9</w:t>
      </w:r>
      <w:r w:rsidR="00C565C6" w:rsidRPr="005E77C9">
        <w:rPr>
          <w:lang w:val="ru-RU"/>
        </w:rPr>
        <w:t xml:space="preserve"> </w:t>
      </w:r>
      <w:r w:rsidR="00B6249A" w:rsidRPr="005E77C9">
        <w:t xml:space="preserve">г. </w:t>
      </w:r>
      <w:r w:rsidR="0092180E" w:rsidRPr="005E77C9">
        <w:t>е отчетен</w:t>
      </w:r>
      <w:r w:rsidR="00B6249A" w:rsidRPr="005E77C9">
        <w:t xml:space="preserve"> </w:t>
      </w:r>
      <w:r w:rsidR="005A5AF2" w:rsidRPr="005E77C9">
        <w:t>ръст</w:t>
      </w:r>
      <w:r w:rsidR="0092180E" w:rsidRPr="005E77C9">
        <w:t xml:space="preserve"> в стойността</w:t>
      </w:r>
      <w:r w:rsidR="00FE0422" w:rsidRPr="005E77C9">
        <w:t xml:space="preserve"> на</w:t>
      </w:r>
      <w:r w:rsidR="00B6249A" w:rsidRPr="005E77C9">
        <w:t xml:space="preserve"> краткосрочните активи</w:t>
      </w:r>
      <w:r w:rsidR="00C565C6" w:rsidRPr="005E77C9">
        <w:t>, които н</w:t>
      </w:r>
      <w:r w:rsidR="0092180E" w:rsidRPr="005E77C9">
        <w:t>а</w:t>
      </w:r>
      <w:r w:rsidR="005A5AF2" w:rsidRPr="005E77C9">
        <w:t>растват</w:t>
      </w:r>
      <w:r w:rsidR="0092180E" w:rsidRPr="005E77C9">
        <w:t xml:space="preserve"> с</w:t>
      </w:r>
      <w:r w:rsidR="00F0727A" w:rsidRPr="005E77C9">
        <w:t xml:space="preserve"> </w:t>
      </w:r>
      <w:r w:rsidR="000D2B4D" w:rsidRPr="005E77C9">
        <w:t>175</w:t>
      </w:r>
      <w:r w:rsidR="00B6249A" w:rsidRPr="005E77C9">
        <w:t xml:space="preserve"> хил.</w:t>
      </w:r>
      <w:r w:rsidR="00BB77A4" w:rsidRPr="005E77C9">
        <w:t xml:space="preserve"> </w:t>
      </w:r>
      <w:r w:rsidR="00B6249A" w:rsidRPr="005E77C9">
        <w:t>лв</w:t>
      </w:r>
      <w:r w:rsidR="00A96904" w:rsidRPr="005E77C9">
        <w:t>. (</w:t>
      </w:r>
      <w:r w:rsidR="00720C2B" w:rsidRPr="005E77C9">
        <w:t>1,4</w:t>
      </w:r>
      <w:r w:rsidR="00A96904" w:rsidRPr="005E77C9">
        <w:t>%)</w:t>
      </w:r>
      <w:r w:rsidR="00A84B34" w:rsidRPr="005E77C9">
        <w:t xml:space="preserve"> спрямо предходната година</w:t>
      </w:r>
      <w:r w:rsidR="00F0727A" w:rsidRPr="005E77C9">
        <w:t xml:space="preserve">, </w:t>
      </w:r>
      <w:r w:rsidR="00A96904" w:rsidRPr="005E77C9">
        <w:t>като същевременно</w:t>
      </w:r>
      <w:r w:rsidR="00F0727A" w:rsidRPr="005E77C9">
        <w:t xml:space="preserve"> краткосрочните задължения </w:t>
      </w:r>
      <w:r w:rsidR="006750D9" w:rsidRPr="005E77C9">
        <w:t>намаляват</w:t>
      </w:r>
      <w:r w:rsidR="0092180E" w:rsidRPr="005E77C9">
        <w:t xml:space="preserve"> </w:t>
      </w:r>
      <w:r w:rsidR="006254E5" w:rsidRPr="005E77C9">
        <w:t>с</w:t>
      </w:r>
      <w:r w:rsidR="00F0727A" w:rsidRPr="005E77C9">
        <w:t xml:space="preserve"> </w:t>
      </w:r>
      <w:r w:rsidR="006750D9" w:rsidRPr="005E77C9">
        <w:t>-</w:t>
      </w:r>
      <w:r w:rsidR="008017F0" w:rsidRPr="005E77C9">
        <w:t>1</w:t>
      </w:r>
      <w:r w:rsidR="00720C2B" w:rsidRPr="005E77C9">
        <w:t>2</w:t>
      </w:r>
      <w:r w:rsidR="00F0727A" w:rsidRPr="005E77C9">
        <w:t xml:space="preserve"> хил.</w:t>
      </w:r>
      <w:r w:rsidR="00BB77A4" w:rsidRPr="005E77C9">
        <w:t xml:space="preserve"> </w:t>
      </w:r>
      <w:r w:rsidR="00F0727A" w:rsidRPr="005E77C9">
        <w:t>лв</w:t>
      </w:r>
      <w:r w:rsidR="00B6249A" w:rsidRPr="005E77C9">
        <w:t>.</w:t>
      </w:r>
      <w:r w:rsidR="00A96904" w:rsidRPr="005E77C9">
        <w:t xml:space="preserve"> (</w:t>
      </w:r>
      <w:r w:rsidR="006750D9" w:rsidRPr="005E77C9">
        <w:t>-</w:t>
      </w:r>
      <w:r w:rsidR="008017F0" w:rsidRPr="005E77C9">
        <w:t>2</w:t>
      </w:r>
      <w:r w:rsidR="00720C2B" w:rsidRPr="005E77C9">
        <w:t>,</w:t>
      </w:r>
      <w:r w:rsidR="008017F0" w:rsidRPr="005E77C9">
        <w:t>4</w:t>
      </w:r>
      <w:r w:rsidR="00A96904" w:rsidRPr="005E77C9">
        <w:t>%).</w:t>
      </w:r>
      <w:r w:rsidR="00B6249A" w:rsidRPr="005E77C9">
        <w:t xml:space="preserve"> В резултат на </w:t>
      </w:r>
      <w:r w:rsidR="0092180E" w:rsidRPr="005E77C9">
        <w:t>цитираната</w:t>
      </w:r>
      <w:r w:rsidR="00F0727A" w:rsidRPr="005E77C9">
        <w:t xml:space="preserve"> динамика</w:t>
      </w:r>
      <w:r w:rsidR="00A96904" w:rsidRPr="005E77C9">
        <w:t>,</w:t>
      </w:r>
      <w:r w:rsidR="00B6249A" w:rsidRPr="005E77C9">
        <w:t xml:space="preserve"> дружеството </w:t>
      </w:r>
      <w:r w:rsidR="00FE0422" w:rsidRPr="005E77C9">
        <w:t>формира</w:t>
      </w:r>
      <w:r w:rsidR="00B6249A" w:rsidRPr="005E77C9">
        <w:t xml:space="preserve"> </w:t>
      </w:r>
      <w:r w:rsidR="006750D9" w:rsidRPr="005E77C9">
        <w:t>увеличение</w:t>
      </w:r>
      <w:r w:rsidR="00B6249A" w:rsidRPr="005E77C9">
        <w:t xml:space="preserve"> от </w:t>
      </w:r>
      <w:r w:rsidR="00720C2B" w:rsidRPr="005E77C9">
        <w:t>0</w:t>
      </w:r>
      <w:r w:rsidR="008017F0" w:rsidRPr="005E77C9">
        <w:t>,</w:t>
      </w:r>
      <w:r w:rsidR="00720C2B" w:rsidRPr="005E77C9">
        <w:t>98</w:t>
      </w:r>
      <w:r w:rsidR="0092180E" w:rsidRPr="005E77C9">
        <w:t xml:space="preserve"> </w:t>
      </w:r>
      <w:r w:rsidR="00FE0422" w:rsidRPr="005E77C9">
        <w:t>пункта</w:t>
      </w:r>
      <w:r w:rsidR="00B6249A" w:rsidRPr="005E77C9">
        <w:t xml:space="preserve"> на </w:t>
      </w:r>
      <w:r w:rsidR="00B6249A" w:rsidRPr="005E77C9">
        <w:rPr>
          <w:i/>
          <w:u w:val="single"/>
        </w:rPr>
        <w:t>коефициента на обща ликвидност</w:t>
      </w:r>
      <w:r w:rsidR="00B6249A" w:rsidRPr="005E77C9">
        <w:t xml:space="preserve"> (от </w:t>
      </w:r>
      <w:r w:rsidR="00720C2B" w:rsidRPr="005E77C9">
        <w:t>24</w:t>
      </w:r>
      <w:r w:rsidR="006750D9" w:rsidRPr="005E77C9">
        <w:t>,</w:t>
      </w:r>
      <w:r w:rsidR="00720C2B" w:rsidRPr="005E77C9">
        <w:t>7</w:t>
      </w:r>
      <w:r w:rsidR="008017F0" w:rsidRPr="005E77C9">
        <w:t>7</w:t>
      </w:r>
      <w:r w:rsidR="00B6249A" w:rsidRPr="005E77C9">
        <w:t xml:space="preserve"> за 20</w:t>
      </w:r>
      <w:r w:rsidR="00F0727A" w:rsidRPr="005E77C9">
        <w:t>1</w:t>
      </w:r>
      <w:r w:rsidR="00720C2B" w:rsidRPr="005E77C9">
        <w:t>8</w:t>
      </w:r>
      <w:r w:rsidR="00B6249A" w:rsidRPr="005E77C9">
        <w:t xml:space="preserve"> г. </w:t>
      </w:r>
      <w:r w:rsidR="00D3284C" w:rsidRPr="005E77C9">
        <w:t>до</w:t>
      </w:r>
      <w:r w:rsidR="00B6249A" w:rsidRPr="005E77C9">
        <w:t xml:space="preserve"> </w:t>
      </w:r>
      <w:r w:rsidR="008017F0" w:rsidRPr="005E77C9">
        <w:t>2</w:t>
      </w:r>
      <w:r w:rsidR="00720C2B" w:rsidRPr="005E77C9">
        <w:t>5</w:t>
      </w:r>
      <w:r w:rsidR="008017F0" w:rsidRPr="005E77C9">
        <w:t>,</w:t>
      </w:r>
      <w:r w:rsidR="00720C2B" w:rsidRPr="005E77C9">
        <w:t>75</w:t>
      </w:r>
      <w:r w:rsidR="00B6249A" w:rsidRPr="005E77C9">
        <w:t xml:space="preserve"> през 201</w:t>
      </w:r>
      <w:r w:rsidR="00720C2B" w:rsidRPr="005E77C9">
        <w:t>9</w:t>
      </w:r>
      <w:r w:rsidR="00B6249A" w:rsidRPr="005E77C9">
        <w:t>г.).</w:t>
      </w:r>
      <w:r w:rsidR="00F54199" w:rsidRPr="005E77C9">
        <w:t xml:space="preserve"> </w:t>
      </w:r>
      <w:r w:rsidR="00206380" w:rsidRPr="005E77C9">
        <w:t xml:space="preserve">Поради </w:t>
      </w:r>
      <w:r w:rsidR="00BA7986" w:rsidRPr="005E77C9">
        <w:t>малкото</w:t>
      </w:r>
      <w:r w:rsidR="00206380" w:rsidRPr="005E77C9">
        <w:t xml:space="preserve"> </w:t>
      </w:r>
      <w:r w:rsidR="00BA7986" w:rsidRPr="005E77C9">
        <w:t>тегло</w:t>
      </w:r>
      <w:r w:rsidR="00206380" w:rsidRPr="005E77C9">
        <w:t xml:space="preserve"> на </w:t>
      </w:r>
      <w:r w:rsidRPr="005E77C9">
        <w:t>материалните запаси</w:t>
      </w:r>
      <w:r w:rsidR="00206380" w:rsidRPr="005E77C9">
        <w:t xml:space="preserve"> </w:t>
      </w:r>
      <w:r w:rsidR="00BA7986" w:rsidRPr="005E77C9">
        <w:t>при</w:t>
      </w:r>
      <w:r w:rsidR="00206380" w:rsidRPr="005E77C9">
        <w:t xml:space="preserve"> формиране на краткосрочния актив на дружеството, </w:t>
      </w:r>
      <w:r w:rsidR="00206380" w:rsidRPr="005E77C9">
        <w:rPr>
          <w:i/>
          <w:u w:val="single"/>
        </w:rPr>
        <w:t>коефициентът на бърза ликвидност (quick ratio)</w:t>
      </w:r>
      <w:r w:rsidR="00206380" w:rsidRPr="005E77C9">
        <w:t xml:space="preserve"> не се различава съществено</w:t>
      </w:r>
      <w:r w:rsidR="009B6476" w:rsidRPr="005E77C9">
        <w:t xml:space="preserve"> като стойност</w:t>
      </w:r>
      <w:r w:rsidR="00206380" w:rsidRPr="005E77C9">
        <w:t xml:space="preserve"> от коефициента на обща ликвидност. </w:t>
      </w:r>
      <w:r w:rsidR="00BA7986" w:rsidRPr="005E77C9">
        <w:t>„</w:t>
      </w:r>
      <w:r w:rsidR="00206380" w:rsidRPr="005E77C9">
        <w:t>Пристанищен комплекс – Русе</w:t>
      </w:r>
      <w:r w:rsidR="00BA7986" w:rsidRPr="005E77C9">
        <w:t>“</w:t>
      </w:r>
      <w:r w:rsidR="009B6476" w:rsidRPr="005E77C9">
        <w:t xml:space="preserve"> ЕАД</w:t>
      </w:r>
      <w:r w:rsidR="00206380" w:rsidRPr="005E77C9">
        <w:t xml:space="preserve"> няма краткосрочни финансови активи и по тази причина показателите за </w:t>
      </w:r>
      <w:r w:rsidR="00206380" w:rsidRPr="005E77C9">
        <w:rPr>
          <w:i/>
          <w:u w:val="single"/>
        </w:rPr>
        <w:t>незабавна (финансова</w:t>
      </w:r>
      <w:r w:rsidR="00F41629" w:rsidRPr="005E77C9">
        <w:rPr>
          <w:rStyle w:val="FootnoteReference"/>
          <w:i/>
          <w:u w:val="single"/>
        </w:rPr>
        <w:footnoteReference w:customMarkFollows="1" w:id="1"/>
        <w:t>*</w:t>
      </w:r>
      <w:r w:rsidR="00206380" w:rsidRPr="005E77C9">
        <w:rPr>
          <w:i/>
          <w:u w:val="single"/>
        </w:rPr>
        <w:t>) и абсолютна ликвидност</w:t>
      </w:r>
      <w:r w:rsidR="00206380" w:rsidRPr="005E77C9">
        <w:t xml:space="preserve"> съвпадат. </w:t>
      </w:r>
      <w:r w:rsidR="00206380" w:rsidRPr="005E77C9">
        <w:rPr>
          <w:i/>
          <w:u w:val="single"/>
        </w:rPr>
        <w:t>Абсолютната ликвидност</w:t>
      </w:r>
      <w:r w:rsidR="00206380" w:rsidRPr="005E77C9">
        <w:t xml:space="preserve"> изразява възможността на фирмата да покрие текущите си задължения изцяло с наличните си парични средства и техните еквиваленти. </w:t>
      </w:r>
      <w:r w:rsidR="00F0727A" w:rsidRPr="005E77C9">
        <w:t>През отчетния период</w:t>
      </w:r>
      <w:r w:rsidR="00B6249A" w:rsidRPr="005E77C9">
        <w:t xml:space="preserve"> този показател </w:t>
      </w:r>
      <w:r w:rsidR="006750D9" w:rsidRPr="005E77C9">
        <w:t>също отчита увеличение</w:t>
      </w:r>
      <w:r w:rsidR="00D3284C" w:rsidRPr="005E77C9">
        <w:t xml:space="preserve"> </w:t>
      </w:r>
      <w:r w:rsidR="00BA7986" w:rsidRPr="005E77C9">
        <w:t>от</w:t>
      </w:r>
      <w:r w:rsidR="00B6249A" w:rsidRPr="005E77C9">
        <w:t xml:space="preserve"> </w:t>
      </w:r>
      <w:r w:rsidR="00116337" w:rsidRPr="005E77C9">
        <w:t>0</w:t>
      </w:r>
      <w:r w:rsidR="005A5AF2" w:rsidRPr="005E77C9">
        <w:t>,</w:t>
      </w:r>
      <w:r w:rsidR="00116337" w:rsidRPr="005E77C9">
        <w:t>75</w:t>
      </w:r>
      <w:r w:rsidR="00FE0422" w:rsidRPr="005E77C9">
        <w:t xml:space="preserve"> пункта</w:t>
      </w:r>
      <w:r w:rsidR="006750D9" w:rsidRPr="005E77C9">
        <w:t>,</w:t>
      </w:r>
      <w:r w:rsidR="00B6249A" w:rsidRPr="005E77C9">
        <w:t xml:space="preserve">  като достига </w:t>
      </w:r>
      <w:r w:rsidR="006750D9" w:rsidRPr="005E77C9">
        <w:t>1</w:t>
      </w:r>
      <w:r w:rsidR="00116337" w:rsidRPr="005E77C9">
        <w:t>9</w:t>
      </w:r>
      <w:r w:rsidR="00FE0422" w:rsidRPr="005E77C9">
        <w:t>,</w:t>
      </w:r>
      <w:r w:rsidR="00116337" w:rsidRPr="005E77C9">
        <w:t>51</w:t>
      </w:r>
      <w:r w:rsidR="00B6249A" w:rsidRPr="005E77C9">
        <w:t xml:space="preserve"> при</w:t>
      </w:r>
      <w:r w:rsidR="00FE0422" w:rsidRPr="005E77C9">
        <w:t xml:space="preserve"> </w:t>
      </w:r>
      <w:r w:rsidR="008017F0" w:rsidRPr="005E77C9">
        <w:t>18</w:t>
      </w:r>
      <w:r w:rsidR="00116337" w:rsidRPr="005E77C9">
        <w:t>,76</w:t>
      </w:r>
      <w:r w:rsidR="008017F0" w:rsidRPr="005E77C9">
        <w:t xml:space="preserve"> </w:t>
      </w:r>
      <w:r w:rsidR="00FE0422" w:rsidRPr="005E77C9">
        <w:t>за</w:t>
      </w:r>
      <w:r w:rsidR="00B6249A" w:rsidRPr="005E77C9">
        <w:t xml:space="preserve"> предходната 20</w:t>
      </w:r>
      <w:r w:rsidR="00F0727A" w:rsidRPr="005E77C9">
        <w:t>1</w:t>
      </w:r>
      <w:r w:rsidR="00116337" w:rsidRPr="005E77C9">
        <w:t>8</w:t>
      </w:r>
      <w:r w:rsidR="00B6249A" w:rsidRPr="005E77C9">
        <w:t>г.</w:t>
      </w:r>
      <w:r w:rsidR="0092180E" w:rsidRPr="005E77C9">
        <w:t xml:space="preserve"> Това се дължи на динамиката от </w:t>
      </w:r>
      <w:r w:rsidR="005A5AF2" w:rsidRPr="005E77C9">
        <w:t>увеличението в стойността</w:t>
      </w:r>
      <w:r w:rsidR="0092180E" w:rsidRPr="005E77C9">
        <w:t xml:space="preserve"> от една страна на </w:t>
      </w:r>
      <w:r w:rsidR="006750D9" w:rsidRPr="005E77C9">
        <w:t>краткотрайните активи</w:t>
      </w:r>
      <w:r w:rsidR="005A5AF2" w:rsidRPr="005E77C9">
        <w:t xml:space="preserve"> като цяло</w:t>
      </w:r>
      <w:r w:rsidR="0092180E" w:rsidRPr="005E77C9">
        <w:t>, а от друга на</w:t>
      </w:r>
      <w:r w:rsidR="006750D9" w:rsidRPr="005E77C9">
        <w:t xml:space="preserve"> намалението на</w:t>
      </w:r>
      <w:r w:rsidR="0092180E" w:rsidRPr="005E77C9">
        <w:t xml:space="preserve"> краткосрочните задължения.</w:t>
      </w:r>
    </w:p>
    <w:p w:rsidR="001023B2" w:rsidRPr="00685C28" w:rsidRDefault="00B6249A" w:rsidP="00B6249A">
      <w:pPr>
        <w:pStyle w:val="BodyTextIndent"/>
        <w:spacing w:before="120" w:after="120"/>
        <w:ind w:firstLine="709"/>
      </w:pPr>
      <w:r w:rsidRPr="005E77C9">
        <w:t xml:space="preserve"> </w:t>
      </w:r>
      <w:r w:rsidR="001023B2" w:rsidRPr="005E77C9">
        <w:rPr>
          <w:b/>
        </w:rPr>
        <w:t xml:space="preserve">Нетният оборотен капитал </w:t>
      </w:r>
      <w:r w:rsidR="001023B2" w:rsidRPr="005E77C9">
        <w:t xml:space="preserve">е тясно свързан с ликвидността. </w:t>
      </w:r>
      <w:r w:rsidR="00BD3134" w:rsidRPr="005E77C9">
        <w:t xml:space="preserve">Той изразява способността на фирмата да покрие текущите си задължения с бързоликвидни/краткосрочни активи. </w:t>
      </w:r>
      <w:r w:rsidR="001023B2" w:rsidRPr="005E77C9">
        <w:t xml:space="preserve">Индикатор за неплатежоспособност е отрицателната величина на НОК. Прекалено </w:t>
      </w:r>
      <w:r w:rsidR="001023B2" w:rsidRPr="00685C28">
        <w:t xml:space="preserve">големият размер на </w:t>
      </w:r>
      <w:r w:rsidR="0002233A" w:rsidRPr="00685C28">
        <w:t xml:space="preserve">НОК </w:t>
      </w:r>
      <w:r w:rsidR="001023B2" w:rsidRPr="00685C28">
        <w:t>от друга страна може също да е причина за загриженост, тъй като може да е показател за голям обем замразени средства в складови запаси или трудно</w:t>
      </w:r>
      <w:r w:rsidR="0002233A" w:rsidRPr="00685C28">
        <w:t xml:space="preserve"> </w:t>
      </w:r>
      <w:r w:rsidR="001023B2" w:rsidRPr="00685C28">
        <w:t xml:space="preserve">събираеми вземания. </w:t>
      </w:r>
    </w:p>
    <w:p w:rsidR="001023B2" w:rsidRPr="00685C28" w:rsidRDefault="002A3CD6" w:rsidP="00BE51A2">
      <w:pPr>
        <w:spacing w:after="120"/>
        <w:ind w:firstLine="720"/>
        <w:jc w:val="both"/>
      </w:pPr>
      <w:r w:rsidRPr="00685C28">
        <w:t>„Пристанищен комплекс – Русе“ ЕАД приключва 201</w:t>
      </w:r>
      <w:r w:rsidR="00116337" w:rsidRPr="00685C28">
        <w:t>9</w:t>
      </w:r>
      <w:r w:rsidRPr="00685C28">
        <w:t xml:space="preserve">г. с положителна стойност на Нетния оборотен капитал от 11 </w:t>
      </w:r>
      <w:r w:rsidR="00116337" w:rsidRPr="00685C28">
        <w:t>930</w:t>
      </w:r>
      <w:r w:rsidRPr="00685C28">
        <w:t xml:space="preserve"> хил.</w:t>
      </w:r>
      <w:r w:rsidR="00BB77A4" w:rsidRPr="00685C28">
        <w:t xml:space="preserve"> </w:t>
      </w:r>
      <w:r w:rsidRPr="00685C28">
        <w:t>лв. Спрямо 201</w:t>
      </w:r>
      <w:r w:rsidR="00116337" w:rsidRPr="00685C28">
        <w:t>8</w:t>
      </w:r>
      <w:r w:rsidRPr="00685C28">
        <w:t xml:space="preserve">г. стойността на този показател нараства с </w:t>
      </w:r>
      <w:r w:rsidR="00116337" w:rsidRPr="00685C28">
        <w:t>1,6</w:t>
      </w:r>
      <w:r w:rsidRPr="00685C28">
        <w:t xml:space="preserve"> %. Дружеството няма основания за опасения от замразяване на големи парични средства в запаси или вземания, тъй като основна част от оборотния капитал е в парични средства</w:t>
      </w:r>
      <w:r w:rsidR="001023B2" w:rsidRPr="00685C28">
        <w:t>.</w:t>
      </w:r>
    </w:p>
    <w:p w:rsidR="00B97C1A" w:rsidRPr="00685C28" w:rsidRDefault="00B97C1A" w:rsidP="00685C28">
      <w:pPr>
        <w:pStyle w:val="ListParagraph"/>
        <w:numPr>
          <w:ilvl w:val="0"/>
          <w:numId w:val="27"/>
        </w:numPr>
        <w:spacing w:after="120"/>
        <w:ind w:left="0" w:firstLine="709"/>
        <w:jc w:val="both"/>
      </w:pPr>
      <w:r w:rsidRPr="00685C28">
        <w:t xml:space="preserve">Степента на </w:t>
      </w:r>
      <w:r w:rsidRPr="00685C28">
        <w:rPr>
          <w:i/>
          <w:u w:val="single"/>
        </w:rPr>
        <w:t>финансова автономност</w:t>
      </w:r>
      <w:r w:rsidRPr="00685C28">
        <w:t xml:space="preserve"> на фирмата се изразява с възможността й да посреща своите дългосрочни задължения. За благопри</w:t>
      </w:r>
      <w:r w:rsidR="00F72D84" w:rsidRPr="00685C28">
        <w:t xml:space="preserve">ятна се счита всяка стойност на </w:t>
      </w:r>
      <w:r w:rsidRPr="00685C28">
        <w:t>коефициента на финансова независимост над 0,5.</w:t>
      </w:r>
    </w:p>
    <w:p w:rsidR="00545A61" w:rsidRDefault="00545A61" w:rsidP="00545A61">
      <w:pPr>
        <w:spacing w:after="120"/>
        <w:jc w:val="both"/>
        <w:rPr>
          <w:b/>
          <w:bCs/>
        </w:rPr>
      </w:pPr>
    </w:p>
    <w:p w:rsidR="00545A61" w:rsidRPr="00545A61" w:rsidRDefault="00545A61" w:rsidP="00545A61">
      <w:pPr>
        <w:spacing w:after="120"/>
        <w:jc w:val="both"/>
        <w:rPr>
          <w:b/>
          <w:bCs/>
        </w:rPr>
      </w:pPr>
    </w:p>
    <w:tbl>
      <w:tblPr>
        <w:tblStyle w:val="TableContemporary"/>
        <w:tblW w:w="9644" w:type="dxa"/>
        <w:tblLook w:val="0000" w:firstRow="0" w:lastRow="0" w:firstColumn="0" w:lastColumn="0" w:noHBand="0" w:noVBand="0"/>
      </w:tblPr>
      <w:tblGrid>
        <w:gridCol w:w="3155"/>
        <w:gridCol w:w="3549"/>
        <w:gridCol w:w="1000"/>
        <w:gridCol w:w="1000"/>
        <w:gridCol w:w="940"/>
      </w:tblGrid>
      <w:tr w:rsidR="00B142B6" w:rsidRPr="005E77C9" w:rsidTr="003777D2">
        <w:trPr>
          <w:cnfStyle w:val="000000100000" w:firstRow="0" w:lastRow="0" w:firstColumn="0" w:lastColumn="0" w:oddVBand="0" w:evenVBand="0" w:oddHBand="1" w:evenHBand="0" w:firstRowFirstColumn="0" w:firstRowLastColumn="0" w:lastRowFirstColumn="0" w:lastRowLastColumn="0"/>
          <w:trHeight w:val="375"/>
        </w:trPr>
        <w:tc>
          <w:tcPr>
            <w:tcW w:w="6704" w:type="dxa"/>
            <w:gridSpan w:val="2"/>
            <w:shd w:val="clear" w:color="auto" w:fill="BFBFBF" w:themeFill="background1" w:themeFillShade="BF"/>
            <w:noWrap/>
            <w:vAlign w:val="center"/>
          </w:tcPr>
          <w:p w:rsidR="00B142B6" w:rsidRPr="005E77C9" w:rsidRDefault="00B142B6" w:rsidP="00B142B6">
            <w:pPr>
              <w:rPr>
                <w:rFonts w:ascii="Arial" w:eastAsia="Times New Roman" w:hAnsi="Arial" w:cs="Arial"/>
                <w:b/>
                <w:bCs/>
                <w:i/>
                <w:iCs/>
                <w:sz w:val="20"/>
                <w:szCs w:val="20"/>
                <w:u w:val="single"/>
                <w:lang w:eastAsia="bg-BG"/>
              </w:rPr>
            </w:pPr>
            <w:r w:rsidRPr="005E77C9">
              <w:rPr>
                <w:rFonts w:ascii="Arial" w:eastAsia="Times New Roman" w:hAnsi="Arial" w:cs="Arial"/>
                <w:b/>
                <w:bCs/>
                <w:i/>
                <w:iCs/>
                <w:sz w:val="20"/>
                <w:szCs w:val="20"/>
                <w:u w:val="single"/>
                <w:lang w:eastAsia="bg-BG"/>
              </w:rPr>
              <w:lastRenderedPageBreak/>
              <w:t>Коефициенти за финансова автономност</w:t>
            </w:r>
          </w:p>
        </w:tc>
        <w:tc>
          <w:tcPr>
            <w:tcW w:w="1000" w:type="dxa"/>
            <w:shd w:val="clear" w:color="auto" w:fill="BFBFBF" w:themeFill="background1" w:themeFillShade="BF"/>
            <w:noWrap/>
            <w:vAlign w:val="center"/>
          </w:tcPr>
          <w:p w:rsidR="00B142B6" w:rsidRPr="005E77C9" w:rsidRDefault="00B142B6" w:rsidP="00B142B6">
            <w:pPr>
              <w:jc w:val="center"/>
              <w:rPr>
                <w:rFonts w:ascii="Arial" w:hAnsi="Arial" w:cs="Arial"/>
                <w:b/>
                <w:bCs/>
                <w:sz w:val="20"/>
                <w:szCs w:val="20"/>
              </w:rPr>
            </w:pPr>
            <w:r w:rsidRPr="005E77C9">
              <w:rPr>
                <w:rFonts w:ascii="Arial" w:hAnsi="Arial" w:cs="Arial"/>
                <w:b/>
                <w:bCs/>
                <w:sz w:val="20"/>
                <w:szCs w:val="20"/>
              </w:rPr>
              <w:t>2019г.</w:t>
            </w:r>
          </w:p>
        </w:tc>
        <w:tc>
          <w:tcPr>
            <w:tcW w:w="1000" w:type="dxa"/>
            <w:shd w:val="clear" w:color="auto" w:fill="BFBFBF" w:themeFill="background1" w:themeFillShade="BF"/>
            <w:noWrap/>
            <w:vAlign w:val="center"/>
          </w:tcPr>
          <w:p w:rsidR="00B142B6" w:rsidRPr="005E77C9" w:rsidRDefault="00B142B6" w:rsidP="00B142B6">
            <w:pPr>
              <w:jc w:val="center"/>
              <w:rPr>
                <w:rFonts w:ascii="Arial" w:hAnsi="Arial" w:cs="Arial"/>
                <w:b/>
                <w:bCs/>
                <w:sz w:val="20"/>
                <w:szCs w:val="20"/>
              </w:rPr>
            </w:pPr>
            <w:r w:rsidRPr="005E77C9">
              <w:rPr>
                <w:rFonts w:ascii="Arial" w:hAnsi="Arial" w:cs="Arial"/>
                <w:b/>
                <w:bCs/>
                <w:sz w:val="20"/>
                <w:szCs w:val="20"/>
              </w:rPr>
              <w:t>БП</w:t>
            </w:r>
          </w:p>
          <w:p w:rsidR="00B142B6" w:rsidRPr="005E77C9" w:rsidRDefault="00B142B6" w:rsidP="00B142B6">
            <w:pPr>
              <w:jc w:val="center"/>
              <w:rPr>
                <w:rFonts w:ascii="Arial" w:hAnsi="Arial" w:cs="Arial"/>
                <w:b/>
                <w:bCs/>
                <w:sz w:val="20"/>
                <w:szCs w:val="20"/>
                <w:lang w:val="en-US"/>
              </w:rPr>
            </w:pPr>
            <w:r w:rsidRPr="005E77C9">
              <w:rPr>
                <w:rFonts w:ascii="Arial" w:hAnsi="Arial" w:cs="Arial"/>
                <w:b/>
                <w:bCs/>
                <w:sz w:val="20"/>
                <w:szCs w:val="20"/>
              </w:rPr>
              <w:t>2019</w:t>
            </w:r>
          </w:p>
        </w:tc>
        <w:tc>
          <w:tcPr>
            <w:tcW w:w="940" w:type="dxa"/>
            <w:shd w:val="clear" w:color="auto" w:fill="BFBFBF" w:themeFill="background1" w:themeFillShade="BF"/>
            <w:noWrap/>
            <w:vAlign w:val="center"/>
          </w:tcPr>
          <w:p w:rsidR="00B142B6" w:rsidRPr="005E77C9" w:rsidRDefault="00B142B6" w:rsidP="00B142B6">
            <w:pPr>
              <w:jc w:val="center"/>
              <w:rPr>
                <w:rFonts w:ascii="Arial" w:hAnsi="Arial" w:cs="Arial"/>
                <w:b/>
                <w:bCs/>
                <w:sz w:val="20"/>
                <w:szCs w:val="20"/>
              </w:rPr>
            </w:pPr>
            <w:r w:rsidRPr="005E77C9">
              <w:rPr>
                <w:rFonts w:ascii="Arial" w:hAnsi="Arial" w:cs="Arial"/>
                <w:b/>
                <w:bCs/>
                <w:sz w:val="20"/>
                <w:szCs w:val="20"/>
              </w:rPr>
              <w:t>2018г.</w:t>
            </w:r>
          </w:p>
        </w:tc>
      </w:tr>
      <w:tr w:rsidR="00B142B6" w:rsidRPr="005E77C9" w:rsidTr="003777D2">
        <w:trPr>
          <w:cnfStyle w:val="000000010000" w:firstRow="0" w:lastRow="0" w:firstColumn="0" w:lastColumn="0" w:oddVBand="0" w:evenVBand="0" w:oddHBand="0" w:evenHBand="1" w:firstRowFirstColumn="0" w:firstRowLastColumn="0" w:lastRowFirstColumn="0" w:lastRowLastColumn="0"/>
          <w:trHeight w:val="360"/>
        </w:trPr>
        <w:tc>
          <w:tcPr>
            <w:tcW w:w="3155" w:type="dxa"/>
            <w:vMerge w:val="restart"/>
            <w:shd w:val="clear" w:color="auto" w:fill="F2F2F2" w:themeFill="background1" w:themeFillShade="F2"/>
            <w:vAlign w:val="center"/>
          </w:tcPr>
          <w:p w:rsidR="00B142B6" w:rsidRPr="005E77C9" w:rsidRDefault="00B142B6" w:rsidP="00B142B6">
            <w:pPr>
              <w:rPr>
                <w:rFonts w:ascii="Arial" w:hAnsi="Arial" w:cs="Arial"/>
                <w:b/>
                <w:bCs/>
                <w:sz w:val="20"/>
                <w:szCs w:val="20"/>
              </w:rPr>
            </w:pPr>
            <w:r w:rsidRPr="005E77C9">
              <w:rPr>
                <w:rFonts w:ascii="Arial" w:hAnsi="Arial" w:cs="Arial"/>
                <w:b/>
                <w:bCs/>
                <w:sz w:val="20"/>
                <w:szCs w:val="20"/>
              </w:rPr>
              <w:t>1. Коефициент на финансова автономност</w:t>
            </w:r>
          </w:p>
        </w:tc>
        <w:tc>
          <w:tcPr>
            <w:tcW w:w="3549" w:type="dxa"/>
            <w:shd w:val="clear" w:color="auto" w:fill="F2F2F2" w:themeFill="background1" w:themeFillShade="F2"/>
            <w:vAlign w:val="bottom"/>
          </w:tcPr>
          <w:p w:rsidR="00B142B6" w:rsidRPr="005E77C9" w:rsidRDefault="00B142B6" w:rsidP="00B142B6">
            <w:pPr>
              <w:jc w:val="center"/>
              <w:rPr>
                <w:rFonts w:ascii="Arial" w:hAnsi="Arial" w:cs="Arial"/>
                <w:b/>
                <w:bCs/>
                <w:sz w:val="20"/>
                <w:szCs w:val="20"/>
              </w:rPr>
            </w:pPr>
            <w:r w:rsidRPr="005E77C9">
              <w:rPr>
                <w:rFonts w:ascii="Arial" w:hAnsi="Arial" w:cs="Arial"/>
                <w:b/>
                <w:bCs/>
                <w:sz w:val="20"/>
                <w:szCs w:val="20"/>
              </w:rPr>
              <w:t>Собствен капитал</w:t>
            </w:r>
          </w:p>
        </w:tc>
        <w:tc>
          <w:tcPr>
            <w:tcW w:w="1000" w:type="dxa"/>
            <w:vMerge w:val="restart"/>
            <w:shd w:val="clear" w:color="auto" w:fill="F2F2F2" w:themeFill="background1" w:themeFillShade="F2"/>
            <w:noWrap/>
            <w:vAlign w:val="center"/>
          </w:tcPr>
          <w:p w:rsidR="00B142B6" w:rsidRPr="005E77C9" w:rsidRDefault="00B142B6" w:rsidP="00B142B6">
            <w:pPr>
              <w:jc w:val="right"/>
              <w:rPr>
                <w:rFonts w:ascii="Arial" w:hAnsi="Arial" w:cs="Arial"/>
                <w:b/>
                <w:bCs/>
                <w:sz w:val="20"/>
                <w:szCs w:val="20"/>
                <w:lang w:val="en-US" w:eastAsia="bg-BG"/>
              </w:rPr>
            </w:pPr>
            <w:r w:rsidRPr="005E77C9">
              <w:rPr>
                <w:rFonts w:ascii="Arial" w:hAnsi="Arial" w:cs="Arial"/>
                <w:b/>
                <w:bCs/>
                <w:sz w:val="20"/>
                <w:szCs w:val="20"/>
                <w:lang w:val="en-US"/>
              </w:rPr>
              <w:t>20.18</w:t>
            </w:r>
          </w:p>
        </w:tc>
        <w:tc>
          <w:tcPr>
            <w:tcW w:w="1000" w:type="dxa"/>
            <w:vMerge w:val="restart"/>
            <w:shd w:val="clear" w:color="auto" w:fill="F2F2F2" w:themeFill="background1" w:themeFillShade="F2"/>
            <w:noWrap/>
            <w:vAlign w:val="center"/>
          </w:tcPr>
          <w:p w:rsidR="00B142B6" w:rsidRPr="005E77C9" w:rsidRDefault="00B142B6" w:rsidP="00B142B6">
            <w:pPr>
              <w:jc w:val="right"/>
              <w:rPr>
                <w:rFonts w:ascii="Arial" w:hAnsi="Arial" w:cs="Arial"/>
                <w:b/>
                <w:bCs/>
                <w:sz w:val="20"/>
                <w:szCs w:val="20"/>
                <w:lang w:val="en-US"/>
              </w:rPr>
            </w:pPr>
            <w:r w:rsidRPr="005E77C9">
              <w:rPr>
                <w:rFonts w:ascii="Arial" w:hAnsi="Arial" w:cs="Arial"/>
                <w:b/>
                <w:bCs/>
                <w:sz w:val="20"/>
                <w:szCs w:val="20"/>
                <w:lang w:val="en-US"/>
              </w:rPr>
              <w:t>19.43</w:t>
            </w:r>
          </w:p>
        </w:tc>
        <w:tc>
          <w:tcPr>
            <w:tcW w:w="940" w:type="dxa"/>
            <w:vMerge w:val="restart"/>
            <w:shd w:val="clear" w:color="auto" w:fill="F2F2F2" w:themeFill="background1" w:themeFillShade="F2"/>
            <w:noWrap/>
            <w:vAlign w:val="center"/>
          </w:tcPr>
          <w:p w:rsidR="00B142B6" w:rsidRPr="005E77C9" w:rsidRDefault="00B142B6" w:rsidP="00B142B6">
            <w:pPr>
              <w:jc w:val="right"/>
              <w:rPr>
                <w:rFonts w:ascii="Arial" w:hAnsi="Arial" w:cs="Arial"/>
                <w:b/>
                <w:bCs/>
                <w:sz w:val="20"/>
                <w:szCs w:val="20"/>
                <w:lang w:val="en-US"/>
              </w:rPr>
            </w:pPr>
            <w:r w:rsidRPr="005E77C9">
              <w:rPr>
                <w:rFonts w:ascii="Arial" w:hAnsi="Arial" w:cs="Arial"/>
                <w:b/>
                <w:bCs/>
                <w:sz w:val="20"/>
                <w:szCs w:val="20"/>
                <w:lang w:val="en-US"/>
              </w:rPr>
              <w:t>19.56</w:t>
            </w:r>
          </w:p>
        </w:tc>
      </w:tr>
      <w:tr w:rsidR="00B142B6" w:rsidRPr="005E77C9" w:rsidTr="003777D2">
        <w:trPr>
          <w:cnfStyle w:val="000000100000" w:firstRow="0" w:lastRow="0" w:firstColumn="0" w:lastColumn="0" w:oddVBand="0" w:evenVBand="0" w:oddHBand="1" w:evenHBand="0" w:firstRowFirstColumn="0" w:firstRowLastColumn="0" w:lastRowFirstColumn="0" w:lastRowLastColumn="0"/>
          <w:trHeight w:val="360"/>
        </w:trPr>
        <w:tc>
          <w:tcPr>
            <w:tcW w:w="3155" w:type="dxa"/>
            <w:vMerge/>
            <w:vAlign w:val="center"/>
          </w:tcPr>
          <w:p w:rsidR="00B142B6" w:rsidRPr="005E77C9" w:rsidRDefault="00B142B6" w:rsidP="00B142B6">
            <w:pPr>
              <w:rPr>
                <w:rFonts w:ascii="Arial" w:eastAsia="Times New Roman" w:hAnsi="Arial" w:cs="Arial"/>
                <w:b/>
                <w:bCs/>
                <w:sz w:val="20"/>
                <w:szCs w:val="20"/>
                <w:lang w:eastAsia="bg-BG"/>
              </w:rPr>
            </w:pPr>
          </w:p>
        </w:tc>
        <w:tc>
          <w:tcPr>
            <w:tcW w:w="3549" w:type="dxa"/>
            <w:shd w:val="clear" w:color="auto" w:fill="F2F2F2" w:themeFill="background1" w:themeFillShade="F2"/>
          </w:tcPr>
          <w:p w:rsidR="00B142B6" w:rsidRPr="005E77C9" w:rsidRDefault="00B142B6" w:rsidP="00B142B6">
            <w:pPr>
              <w:jc w:val="center"/>
              <w:rPr>
                <w:rFonts w:ascii="Arial" w:eastAsia="Times New Roman" w:hAnsi="Arial" w:cs="Arial"/>
                <w:b/>
                <w:bCs/>
                <w:sz w:val="20"/>
                <w:szCs w:val="20"/>
                <w:lang w:eastAsia="bg-BG"/>
              </w:rPr>
            </w:pPr>
            <w:r w:rsidRPr="005E77C9">
              <w:rPr>
                <w:rFonts w:ascii="Arial" w:hAnsi="Arial" w:cs="Arial"/>
                <w:b/>
                <w:bCs/>
                <w:sz w:val="20"/>
                <w:szCs w:val="20"/>
              </w:rPr>
              <w:t>Привлечен капитал (Пасиви-СК)</w:t>
            </w:r>
          </w:p>
        </w:tc>
        <w:tc>
          <w:tcPr>
            <w:tcW w:w="1000" w:type="dxa"/>
            <w:vMerge/>
            <w:shd w:val="clear" w:color="auto" w:fill="F2F2F2" w:themeFill="background1" w:themeFillShade="F2"/>
            <w:vAlign w:val="center"/>
          </w:tcPr>
          <w:p w:rsidR="00B142B6" w:rsidRPr="005E77C9" w:rsidRDefault="00B142B6" w:rsidP="00B142B6">
            <w:pPr>
              <w:jc w:val="right"/>
              <w:rPr>
                <w:rFonts w:ascii="Arial" w:eastAsia="Times New Roman" w:hAnsi="Arial" w:cs="Arial"/>
                <w:b/>
                <w:bCs/>
                <w:sz w:val="20"/>
                <w:szCs w:val="20"/>
                <w:lang w:eastAsia="bg-BG"/>
              </w:rPr>
            </w:pPr>
          </w:p>
        </w:tc>
        <w:tc>
          <w:tcPr>
            <w:tcW w:w="1000" w:type="dxa"/>
            <w:vMerge/>
            <w:shd w:val="clear" w:color="auto" w:fill="F2F2F2" w:themeFill="background1" w:themeFillShade="F2"/>
            <w:vAlign w:val="center"/>
          </w:tcPr>
          <w:p w:rsidR="00B142B6" w:rsidRPr="005E77C9" w:rsidRDefault="00B142B6" w:rsidP="00B142B6">
            <w:pPr>
              <w:jc w:val="right"/>
              <w:rPr>
                <w:rFonts w:ascii="Arial" w:eastAsia="Times New Roman" w:hAnsi="Arial" w:cs="Arial"/>
                <w:b/>
                <w:bCs/>
                <w:sz w:val="20"/>
                <w:szCs w:val="20"/>
                <w:lang w:eastAsia="bg-BG"/>
              </w:rPr>
            </w:pPr>
          </w:p>
        </w:tc>
        <w:tc>
          <w:tcPr>
            <w:tcW w:w="940" w:type="dxa"/>
            <w:vMerge/>
            <w:shd w:val="clear" w:color="auto" w:fill="F2F2F2" w:themeFill="background1" w:themeFillShade="F2"/>
            <w:vAlign w:val="center"/>
          </w:tcPr>
          <w:p w:rsidR="00B142B6" w:rsidRPr="005E77C9" w:rsidRDefault="00B142B6" w:rsidP="00B142B6">
            <w:pPr>
              <w:jc w:val="right"/>
              <w:rPr>
                <w:rFonts w:ascii="Arial" w:eastAsia="Times New Roman" w:hAnsi="Arial" w:cs="Arial"/>
                <w:b/>
                <w:bCs/>
                <w:sz w:val="20"/>
                <w:szCs w:val="20"/>
                <w:lang w:eastAsia="bg-BG"/>
              </w:rPr>
            </w:pPr>
          </w:p>
        </w:tc>
      </w:tr>
      <w:tr w:rsidR="00B142B6" w:rsidRPr="005E77C9" w:rsidTr="003777D2">
        <w:trPr>
          <w:cnfStyle w:val="000000010000" w:firstRow="0" w:lastRow="0" w:firstColumn="0" w:lastColumn="0" w:oddVBand="0" w:evenVBand="0" w:oddHBand="0" w:evenHBand="1" w:firstRowFirstColumn="0" w:firstRowLastColumn="0" w:lastRowFirstColumn="0" w:lastRowLastColumn="0"/>
          <w:trHeight w:val="360"/>
        </w:trPr>
        <w:tc>
          <w:tcPr>
            <w:tcW w:w="3155" w:type="dxa"/>
            <w:vMerge w:val="restart"/>
            <w:shd w:val="clear" w:color="auto" w:fill="D9D9D9" w:themeFill="background1" w:themeFillShade="D9"/>
            <w:vAlign w:val="center"/>
          </w:tcPr>
          <w:p w:rsidR="00B142B6" w:rsidRPr="005E77C9" w:rsidRDefault="00B142B6" w:rsidP="00B142B6">
            <w:pPr>
              <w:rPr>
                <w:rFonts w:ascii="Arial" w:hAnsi="Arial" w:cs="Arial"/>
                <w:b/>
                <w:bCs/>
                <w:sz w:val="20"/>
                <w:szCs w:val="20"/>
              </w:rPr>
            </w:pPr>
            <w:r w:rsidRPr="005E77C9">
              <w:rPr>
                <w:rFonts w:ascii="Arial" w:hAnsi="Arial" w:cs="Arial"/>
                <w:b/>
                <w:bCs/>
                <w:sz w:val="20"/>
                <w:szCs w:val="20"/>
              </w:rPr>
              <w:t>2. Коефициент на задлъжнялост</w:t>
            </w:r>
          </w:p>
        </w:tc>
        <w:tc>
          <w:tcPr>
            <w:tcW w:w="3549" w:type="dxa"/>
            <w:shd w:val="clear" w:color="auto" w:fill="D9D9D9" w:themeFill="background1" w:themeFillShade="D9"/>
            <w:vAlign w:val="bottom"/>
          </w:tcPr>
          <w:p w:rsidR="00B142B6" w:rsidRPr="005E77C9" w:rsidRDefault="00B142B6" w:rsidP="00B142B6">
            <w:pPr>
              <w:jc w:val="center"/>
              <w:rPr>
                <w:rFonts w:ascii="Arial" w:hAnsi="Arial" w:cs="Arial"/>
                <w:b/>
                <w:bCs/>
                <w:sz w:val="20"/>
                <w:szCs w:val="20"/>
              </w:rPr>
            </w:pPr>
            <w:r w:rsidRPr="005E77C9">
              <w:rPr>
                <w:rFonts w:ascii="Arial" w:hAnsi="Arial" w:cs="Arial"/>
                <w:b/>
                <w:bCs/>
                <w:sz w:val="20"/>
                <w:szCs w:val="20"/>
              </w:rPr>
              <w:t>Привлечен капитал (Пасиви-СК)</w:t>
            </w:r>
          </w:p>
        </w:tc>
        <w:tc>
          <w:tcPr>
            <w:tcW w:w="1000" w:type="dxa"/>
            <w:vMerge w:val="restart"/>
            <w:shd w:val="clear" w:color="auto" w:fill="D9D9D9" w:themeFill="background1" w:themeFillShade="D9"/>
            <w:noWrap/>
            <w:vAlign w:val="center"/>
          </w:tcPr>
          <w:p w:rsidR="00B142B6" w:rsidRPr="005E77C9" w:rsidRDefault="00B142B6" w:rsidP="00B142B6">
            <w:pPr>
              <w:jc w:val="right"/>
              <w:rPr>
                <w:rFonts w:ascii="Arial" w:hAnsi="Arial" w:cs="Arial"/>
                <w:b/>
                <w:bCs/>
                <w:sz w:val="20"/>
                <w:szCs w:val="20"/>
              </w:rPr>
            </w:pPr>
            <w:r w:rsidRPr="005E77C9">
              <w:rPr>
                <w:rFonts w:ascii="Arial" w:hAnsi="Arial" w:cs="Arial"/>
                <w:b/>
                <w:bCs/>
                <w:sz w:val="20"/>
                <w:szCs w:val="20"/>
              </w:rPr>
              <w:t>0.05</w:t>
            </w:r>
          </w:p>
        </w:tc>
        <w:tc>
          <w:tcPr>
            <w:tcW w:w="1000" w:type="dxa"/>
            <w:vMerge w:val="restart"/>
            <w:shd w:val="clear" w:color="auto" w:fill="D9D9D9" w:themeFill="background1" w:themeFillShade="D9"/>
            <w:noWrap/>
            <w:vAlign w:val="center"/>
          </w:tcPr>
          <w:p w:rsidR="00B142B6" w:rsidRPr="005E77C9" w:rsidRDefault="00B142B6" w:rsidP="00B142B6">
            <w:pPr>
              <w:jc w:val="right"/>
              <w:rPr>
                <w:rFonts w:ascii="Arial" w:hAnsi="Arial" w:cs="Arial"/>
                <w:b/>
                <w:bCs/>
                <w:sz w:val="20"/>
                <w:szCs w:val="20"/>
              </w:rPr>
            </w:pPr>
            <w:r w:rsidRPr="005E77C9">
              <w:rPr>
                <w:rFonts w:ascii="Arial" w:hAnsi="Arial" w:cs="Arial"/>
                <w:b/>
                <w:bCs/>
                <w:sz w:val="20"/>
                <w:szCs w:val="20"/>
              </w:rPr>
              <w:t>0.05</w:t>
            </w:r>
          </w:p>
        </w:tc>
        <w:tc>
          <w:tcPr>
            <w:tcW w:w="940" w:type="dxa"/>
            <w:vMerge w:val="restart"/>
            <w:shd w:val="clear" w:color="auto" w:fill="D9D9D9" w:themeFill="background1" w:themeFillShade="D9"/>
            <w:noWrap/>
            <w:vAlign w:val="center"/>
          </w:tcPr>
          <w:p w:rsidR="00B142B6" w:rsidRPr="005E77C9" w:rsidRDefault="00B142B6" w:rsidP="00B142B6">
            <w:pPr>
              <w:jc w:val="right"/>
              <w:rPr>
                <w:rFonts w:ascii="Arial" w:hAnsi="Arial" w:cs="Arial"/>
                <w:b/>
                <w:bCs/>
                <w:sz w:val="20"/>
                <w:szCs w:val="20"/>
                <w:lang w:val="en-US"/>
              </w:rPr>
            </w:pPr>
            <w:r w:rsidRPr="005E77C9">
              <w:rPr>
                <w:rFonts w:ascii="Arial" w:hAnsi="Arial" w:cs="Arial"/>
                <w:b/>
                <w:bCs/>
                <w:sz w:val="20"/>
                <w:szCs w:val="20"/>
              </w:rPr>
              <w:t>0.0</w:t>
            </w:r>
            <w:r w:rsidRPr="005E77C9">
              <w:rPr>
                <w:rFonts w:ascii="Arial" w:hAnsi="Arial" w:cs="Arial"/>
                <w:b/>
                <w:bCs/>
                <w:sz w:val="20"/>
                <w:szCs w:val="20"/>
                <w:lang w:val="en-US"/>
              </w:rPr>
              <w:t>5</w:t>
            </w:r>
          </w:p>
        </w:tc>
      </w:tr>
      <w:tr w:rsidR="00B142B6" w:rsidRPr="005E77C9" w:rsidTr="003777D2">
        <w:trPr>
          <w:cnfStyle w:val="000000100000" w:firstRow="0" w:lastRow="0" w:firstColumn="0" w:lastColumn="0" w:oddVBand="0" w:evenVBand="0" w:oddHBand="1" w:evenHBand="0" w:firstRowFirstColumn="0" w:firstRowLastColumn="0" w:lastRowFirstColumn="0" w:lastRowLastColumn="0"/>
          <w:trHeight w:val="360"/>
        </w:trPr>
        <w:tc>
          <w:tcPr>
            <w:tcW w:w="3155" w:type="dxa"/>
            <w:vMerge/>
          </w:tcPr>
          <w:p w:rsidR="00B142B6" w:rsidRPr="005E77C9" w:rsidRDefault="00B142B6" w:rsidP="00B142B6">
            <w:pPr>
              <w:rPr>
                <w:rFonts w:ascii="Arial" w:eastAsia="Times New Roman" w:hAnsi="Arial" w:cs="Arial"/>
                <w:b/>
                <w:bCs/>
                <w:sz w:val="20"/>
                <w:szCs w:val="20"/>
                <w:lang w:eastAsia="bg-BG"/>
              </w:rPr>
            </w:pPr>
          </w:p>
        </w:tc>
        <w:tc>
          <w:tcPr>
            <w:tcW w:w="3549" w:type="dxa"/>
            <w:shd w:val="clear" w:color="auto" w:fill="D9D9D9" w:themeFill="background1" w:themeFillShade="D9"/>
          </w:tcPr>
          <w:p w:rsidR="00B142B6" w:rsidRPr="005E77C9" w:rsidRDefault="00B142B6" w:rsidP="00B142B6">
            <w:pPr>
              <w:jc w:val="center"/>
              <w:rPr>
                <w:rFonts w:ascii="Arial" w:eastAsia="Times New Roman" w:hAnsi="Arial" w:cs="Arial"/>
                <w:b/>
                <w:bCs/>
                <w:sz w:val="20"/>
                <w:szCs w:val="20"/>
                <w:lang w:eastAsia="bg-BG"/>
              </w:rPr>
            </w:pPr>
            <w:r w:rsidRPr="005E77C9">
              <w:rPr>
                <w:rFonts w:ascii="Arial" w:eastAsia="Times New Roman" w:hAnsi="Arial" w:cs="Arial"/>
                <w:b/>
                <w:bCs/>
                <w:sz w:val="20"/>
                <w:szCs w:val="20"/>
                <w:lang w:eastAsia="bg-BG"/>
              </w:rPr>
              <w:t>Собствен капитал</w:t>
            </w:r>
          </w:p>
        </w:tc>
        <w:tc>
          <w:tcPr>
            <w:tcW w:w="1000" w:type="dxa"/>
            <w:vMerge/>
            <w:shd w:val="clear" w:color="auto" w:fill="D9D9D9" w:themeFill="background1" w:themeFillShade="D9"/>
          </w:tcPr>
          <w:p w:rsidR="00B142B6" w:rsidRPr="005E77C9" w:rsidRDefault="00B142B6" w:rsidP="00B142B6">
            <w:pPr>
              <w:rPr>
                <w:rFonts w:ascii="Arial" w:eastAsia="Times New Roman" w:hAnsi="Arial" w:cs="Arial"/>
                <w:b/>
                <w:bCs/>
                <w:sz w:val="20"/>
                <w:szCs w:val="20"/>
                <w:lang w:eastAsia="bg-BG"/>
              </w:rPr>
            </w:pPr>
          </w:p>
        </w:tc>
        <w:tc>
          <w:tcPr>
            <w:tcW w:w="1000" w:type="dxa"/>
            <w:vMerge/>
          </w:tcPr>
          <w:p w:rsidR="00B142B6" w:rsidRPr="005E77C9" w:rsidRDefault="00B142B6" w:rsidP="00B142B6">
            <w:pPr>
              <w:rPr>
                <w:rFonts w:ascii="Arial" w:eastAsia="Times New Roman" w:hAnsi="Arial" w:cs="Arial"/>
                <w:b/>
                <w:bCs/>
                <w:sz w:val="20"/>
                <w:szCs w:val="20"/>
                <w:lang w:eastAsia="bg-BG"/>
              </w:rPr>
            </w:pPr>
          </w:p>
        </w:tc>
        <w:tc>
          <w:tcPr>
            <w:tcW w:w="940" w:type="dxa"/>
            <w:vMerge/>
          </w:tcPr>
          <w:p w:rsidR="00B142B6" w:rsidRPr="005E77C9" w:rsidRDefault="00B142B6" w:rsidP="00B142B6">
            <w:pPr>
              <w:rPr>
                <w:rFonts w:ascii="Arial" w:eastAsia="Times New Roman" w:hAnsi="Arial" w:cs="Arial"/>
                <w:b/>
                <w:bCs/>
                <w:sz w:val="20"/>
                <w:szCs w:val="20"/>
                <w:lang w:eastAsia="bg-BG"/>
              </w:rPr>
            </w:pPr>
          </w:p>
        </w:tc>
      </w:tr>
    </w:tbl>
    <w:p w:rsidR="00764CB9" w:rsidRPr="00685C28" w:rsidRDefault="00A922A5" w:rsidP="000B7D1D">
      <w:pPr>
        <w:spacing w:before="240" w:after="120"/>
        <w:ind w:firstLine="720"/>
        <w:jc w:val="both"/>
        <w:rPr>
          <w:rFonts w:eastAsia="Times New Roman"/>
          <w:lang w:eastAsia="bg-BG"/>
        </w:rPr>
      </w:pPr>
      <w:r w:rsidRPr="00685C28">
        <w:t>„</w:t>
      </w:r>
      <w:r w:rsidR="00B140FA" w:rsidRPr="00685C28">
        <w:t>Пристанищен комплекс–Русе</w:t>
      </w:r>
      <w:r w:rsidRPr="00685C28">
        <w:t>“</w:t>
      </w:r>
      <w:r w:rsidR="00B140FA" w:rsidRPr="00685C28">
        <w:t xml:space="preserve"> ЕАД няма дългосрочни задължения, с изключение на нормативно определените провизии при пенсиониране</w:t>
      </w:r>
      <w:r w:rsidR="007E5664" w:rsidRPr="00685C28">
        <w:t xml:space="preserve"> и дългосрочния данъчен пасив</w:t>
      </w:r>
      <w:r w:rsidR="00B140FA" w:rsidRPr="00685C28">
        <w:t>. Дружеството традиционно се отличава с високи стойности на показателя за финансова независимост.</w:t>
      </w:r>
      <w:r w:rsidR="00BD3134" w:rsidRPr="00685C28">
        <w:t xml:space="preserve"> </w:t>
      </w:r>
      <w:r w:rsidR="00540CC8" w:rsidRPr="00685C28">
        <w:t>За 2019</w:t>
      </w:r>
      <w:r w:rsidR="00540CC8" w:rsidRPr="00685C28">
        <w:rPr>
          <w:lang w:val="en-US"/>
        </w:rPr>
        <w:t xml:space="preserve"> </w:t>
      </w:r>
      <w:r w:rsidR="00540CC8" w:rsidRPr="00685C28">
        <w:t>г. коефициентът на финансова автономност отбелязва стойност 20,18 - което показва, че всеки 1 лев зает капитал е обезпечен с 20,18 лв. собствен капитал. В сравнение с предходния период е отчетено увеличение от 3 %</w:t>
      </w:r>
      <w:r w:rsidR="00344F53" w:rsidRPr="00685C28">
        <w:rPr>
          <w:rFonts w:eastAsia="Times New Roman"/>
          <w:lang w:eastAsia="bg-BG"/>
        </w:rPr>
        <w:t>.</w:t>
      </w:r>
    </w:p>
    <w:p w:rsidR="00764CB9" w:rsidRPr="00685C28" w:rsidRDefault="00540CC8" w:rsidP="000B7D1D">
      <w:pPr>
        <w:spacing w:after="120"/>
        <w:ind w:firstLine="720"/>
        <w:jc w:val="both"/>
        <w:rPr>
          <w:rFonts w:eastAsia="Times New Roman"/>
          <w:lang w:eastAsia="bg-BG"/>
        </w:rPr>
      </w:pPr>
      <w:r w:rsidRPr="00685C28">
        <w:t>Коефициентът на финансовата задлъжнялост е без изменение спрямо предходната 2018г</w:t>
      </w:r>
      <w:r w:rsidR="009370D4" w:rsidRPr="00685C28">
        <w:rPr>
          <w:rFonts w:eastAsia="Times New Roman"/>
          <w:lang w:eastAsia="bg-BG"/>
        </w:rPr>
        <w:t>.</w:t>
      </w:r>
    </w:p>
    <w:p w:rsidR="00764CB9" w:rsidRPr="00685C28" w:rsidRDefault="002A3CD6" w:rsidP="000B7D1D">
      <w:pPr>
        <w:spacing w:after="120"/>
        <w:ind w:firstLine="720"/>
        <w:jc w:val="both"/>
        <w:rPr>
          <w:rFonts w:eastAsia="Times New Roman"/>
          <w:lang w:eastAsia="bg-BG"/>
        </w:rPr>
      </w:pPr>
      <w:r w:rsidRPr="00685C28">
        <w:t xml:space="preserve">Стойностите и на двата показателя характеризират добрата платежоспособност на дружеството - резултат от задържането на привлечения капитал на ниски нива от една страна, </w:t>
      </w:r>
      <w:bookmarkStart w:id="48" w:name="_Hlk507074253"/>
      <w:r w:rsidRPr="00685C28">
        <w:t>както и високия дял и абсолютна стойност на собствения капитал от друга</w:t>
      </w:r>
      <w:bookmarkEnd w:id="48"/>
      <w:r w:rsidR="00124261" w:rsidRPr="00685C28">
        <w:t>.</w:t>
      </w:r>
    </w:p>
    <w:p w:rsidR="001B6404" w:rsidRPr="005E77C9" w:rsidRDefault="001B6404" w:rsidP="00685C28">
      <w:pPr>
        <w:pStyle w:val="ListParagraph"/>
        <w:numPr>
          <w:ilvl w:val="0"/>
          <w:numId w:val="27"/>
        </w:numPr>
        <w:spacing w:before="120" w:after="120"/>
        <w:ind w:left="0" w:firstLine="851"/>
        <w:jc w:val="both"/>
      </w:pPr>
      <w:r w:rsidRPr="00685C28">
        <w:rPr>
          <w:i/>
          <w:u w:val="single"/>
        </w:rPr>
        <w:t>Показателите за възвръщаемост</w:t>
      </w:r>
      <w:r w:rsidRPr="005E77C9">
        <w:t xml:space="preserve"> изразяват отношението между реализираната от фирмата печалба и използвания от нея капитал за съответния период.</w:t>
      </w:r>
      <w:r w:rsidR="009370D4" w:rsidRPr="005E77C9">
        <w:t xml:space="preserve"> </w:t>
      </w:r>
    </w:p>
    <w:tbl>
      <w:tblPr>
        <w:tblStyle w:val="TableContemporary"/>
        <w:tblW w:w="9684" w:type="dxa"/>
        <w:shd w:val="clear" w:color="auto" w:fill="BFBFBF" w:themeFill="background1" w:themeFillShade="BF"/>
        <w:tblLook w:val="0000" w:firstRow="0" w:lastRow="0" w:firstColumn="0" w:lastColumn="0" w:noHBand="0" w:noVBand="0"/>
      </w:tblPr>
      <w:tblGrid>
        <w:gridCol w:w="2694"/>
        <w:gridCol w:w="4010"/>
        <w:gridCol w:w="1040"/>
        <w:gridCol w:w="1000"/>
        <w:gridCol w:w="940"/>
      </w:tblGrid>
      <w:tr w:rsidR="00B142B6" w:rsidRPr="005E77C9" w:rsidTr="003777D2">
        <w:trPr>
          <w:cnfStyle w:val="000000100000" w:firstRow="0" w:lastRow="0" w:firstColumn="0" w:lastColumn="0" w:oddVBand="0" w:evenVBand="0" w:oddHBand="1" w:evenHBand="0" w:firstRowFirstColumn="0" w:firstRowLastColumn="0" w:lastRowFirstColumn="0" w:lastRowLastColumn="0"/>
          <w:trHeight w:val="420"/>
        </w:trPr>
        <w:tc>
          <w:tcPr>
            <w:tcW w:w="6704" w:type="dxa"/>
            <w:gridSpan w:val="2"/>
            <w:shd w:val="clear" w:color="auto" w:fill="BFBFBF" w:themeFill="background1" w:themeFillShade="BF"/>
            <w:noWrap/>
            <w:vAlign w:val="center"/>
          </w:tcPr>
          <w:p w:rsidR="00B142B6" w:rsidRPr="005E77C9" w:rsidRDefault="00B142B6" w:rsidP="00B142B6">
            <w:pPr>
              <w:rPr>
                <w:rFonts w:ascii="Arial" w:eastAsia="Times New Roman" w:hAnsi="Arial" w:cs="Arial"/>
                <w:b/>
                <w:bCs/>
                <w:i/>
                <w:iCs/>
                <w:sz w:val="20"/>
                <w:szCs w:val="20"/>
                <w:u w:val="single"/>
                <w:lang w:eastAsia="bg-BG"/>
              </w:rPr>
            </w:pPr>
            <w:r w:rsidRPr="005E77C9">
              <w:rPr>
                <w:rFonts w:ascii="Arial" w:eastAsia="Times New Roman" w:hAnsi="Arial" w:cs="Arial"/>
                <w:b/>
                <w:bCs/>
                <w:i/>
                <w:iCs/>
                <w:sz w:val="20"/>
                <w:szCs w:val="20"/>
                <w:u w:val="single"/>
                <w:lang w:eastAsia="bg-BG"/>
              </w:rPr>
              <w:t>Коефициенти на възвръщаемост:</w:t>
            </w:r>
          </w:p>
        </w:tc>
        <w:tc>
          <w:tcPr>
            <w:tcW w:w="1040" w:type="dxa"/>
            <w:shd w:val="clear" w:color="auto" w:fill="BFBFBF" w:themeFill="background1" w:themeFillShade="BF"/>
            <w:noWrap/>
            <w:vAlign w:val="center"/>
          </w:tcPr>
          <w:p w:rsidR="00B142B6" w:rsidRPr="005E77C9" w:rsidRDefault="00B142B6" w:rsidP="00B142B6">
            <w:pPr>
              <w:jc w:val="center"/>
              <w:rPr>
                <w:rFonts w:ascii="Arial" w:hAnsi="Arial" w:cs="Arial"/>
                <w:b/>
                <w:bCs/>
                <w:sz w:val="20"/>
                <w:szCs w:val="20"/>
              </w:rPr>
            </w:pPr>
            <w:r w:rsidRPr="005E77C9">
              <w:rPr>
                <w:rFonts w:ascii="Arial" w:hAnsi="Arial" w:cs="Arial"/>
                <w:b/>
                <w:bCs/>
                <w:sz w:val="20"/>
                <w:szCs w:val="20"/>
              </w:rPr>
              <w:t>2019г.</w:t>
            </w:r>
          </w:p>
        </w:tc>
        <w:tc>
          <w:tcPr>
            <w:tcW w:w="1000" w:type="dxa"/>
            <w:shd w:val="clear" w:color="auto" w:fill="BFBFBF" w:themeFill="background1" w:themeFillShade="BF"/>
            <w:noWrap/>
            <w:vAlign w:val="center"/>
          </w:tcPr>
          <w:p w:rsidR="00B142B6" w:rsidRPr="005E77C9" w:rsidRDefault="00B142B6" w:rsidP="00B142B6">
            <w:pPr>
              <w:jc w:val="center"/>
              <w:rPr>
                <w:rFonts w:ascii="Arial" w:hAnsi="Arial" w:cs="Arial"/>
                <w:b/>
                <w:bCs/>
                <w:sz w:val="20"/>
                <w:szCs w:val="20"/>
              </w:rPr>
            </w:pPr>
            <w:r w:rsidRPr="005E77C9">
              <w:rPr>
                <w:rFonts w:ascii="Arial" w:hAnsi="Arial" w:cs="Arial"/>
                <w:b/>
                <w:bCs/>
                <w:sz w:val="20"/>
                <w:szCs w:val="20"/>
              </w:rPr>
              <w:t>БП</w:t>
            </w:r>
          </w:p>
          <w:p w:rsidR="00B142B6" w:rsidRPr="005E77C9" w:rsidRDefault="00B142B6" w:rsidP="00B142B6">
            <w:pPr>
              <w:jc w:val="center"/>
              <w:rPr>
                <w:rFonts w:ascii="Arial" w:hAnsi="Arial" w:cs="Arial"/>
                <w:b/>
                <w:bCs/>
                <w:sz w:val="20"/>
                <w:szCs w:val="20"/>
                <w:lang w:val="en-US"/>
              </w:rPr>
            </w:pPr>
            <w:r w:rsidRPr="005E77C9">
              <w:rPr>
                <w:rFonts w:ascii="Arial" w:hAnsi="Arial" w:cs="Arial"/>
                <w:b/>
                <w:bCs/>
                <w:sz w:val="20"/>
                <w:szCs w:val="20"/>
              </w:rPr>
              <w:t>2019</w:t>
            </w:r>
          </w:p>
        </w:tc>
        <w:tc>
          <w:tcPr>
            <w:tcW w:w="940" w:type="dxa"/>
            <w:shd w:val="clear" w:color="auto" w:fill="BFBFBF" w:themeFill="background1" w:themeFillShade="BF"/>
            <w:noWrap/>
            <w:vAlign w:val="center"/>
          </w:tcPr>
          <w:p w:rsidR="00B142B6" w:rsidRPr="005E77C9" w:rsidRDefault="00B142B6" w:rsidP="00B142B6">
            <w:pPr>
              <w:jc w:val="center"/>
              <w:rPr>
                <w:rFonts w:ascii="Arial" w:hAnsi="Arial" w:cs="Arial"/>
                <w:b/>
                <w:bCs/>
                <w:sz w:val="20"/>
                <w:szCs w:val="20"/>
              </w:rPr>
            </w:pPr>
            <w:r w:rsidRPr="005E77C9">
              <w:rPr>
                <w:rFonts w:ascii="Arial" w:hAnsi="Arial" w:cs="Arial"/>
                <w:b/>
                <w:bCs/>
                <w:sz w:val="20"/>
                <w:szCs w:val="20"/>
              </w:rPr>
              <w:t>2018г.</w:t>
            </w:r>
          </w:p>
        </w:tc>
      </w:tr>
      <w:tr w:rsidR="00B142B6" w:rsidRPr="005E77C9" w:rsidTr="00E6489F">
        <w:trPr>
          <w:cnfStyle w:val="000000010000" w:firstRow="0" w:lastRow="0" w:firstColumn="0" w:lastColumn="0" w:oddVBand="0" w:evenVBand="0" w:oddHBand="0" w:evenHBand="1" w:firstRowFirstColumn="0" w:firstRowLastColumn="0" w:lastRowFirstColumn="0" w:lastRowLastColumn="0"/>
          <w:trHeight w:val="345"/>
        </w:trPr>
        <w:tc>
          <w:tcPr>
            <w:tcW w:w="2694" w:type="dxa"/>
            <w:vMerge w:val="restart"/>
            <w:shd w:val="clear" w:color="auto" w:fill="D9D9D9" w:themeFill="background1" w:themeFillShade="D9"/>
            <w:vAlign w:val="center"/>
          </w:tcPr>
          <w:p w:rsidR="00B142B6" w:rsidRPr="005E77C9" w:rsidRDefault="00B142B6" w:rsidP="00B142B6">
            <w:pPr>
              <w:rPr>
                <w:rFonts w:ascii="Arial" w:eastAsia="Times New Roman" w:hAnsi="Arial" w:cs="Arial"/>
                <w:sz w:val="20"/>
                <w:szCs w:val="20"/>
                <w:lang w:eastAsia="bg-BG"/>
              </w:rPr>
            </w:pPr>
            <w:r w:rsidRPr="005E77C9">
              <w:rPr>
                <w:rFonts w:ascii="Arial" w:eastAsia="Times New Roman" w:hAnsi="Arial" w:cs="Arial"/>
                <w:sz w:val="20"/>
                <w:szCs w:val="20"/>
                <w:lang w:eastAsia="bg-BG"/>
              </w:rPr>
              <w:t>1. Капитализация на активите</w:t>
            </w:r>
          </w:p>
        </w:tc>
        <w:tc>
          <w:tcPr>
            <w:tcW w:w="4010" w:type="dxa"/>
            <w:shd w:val="clear" w:color="auto" w:fill="D9D9D9" w:themeFill="background1" w:themeFillShade="D9"/>
            <w:noWrap/>
            <w:vAlign w:val="bottom"/>
          </w:tcPr>
          <w:p w:rsidR="00B142B6" w:rsidRPr="005E77C9" w:rsidRDefault="00B142B6" w:rsidP="00B142B6">
            <w:pPr>
              <w:jc w:val="center"/>
              <w:rPr>
                <w:rFonts w:ascii="Arial" w:eastAsia="Times New Roman" w:hAnsi="Arial" w:cs="Arial"/>
                <w:sz w:val="20"/>
                <w:szCs w:val="20"/>
                <w:lang w:eastAsia="bg-BG"/>
              </w:rPr>
            </w:pPr>
            <w:r w:rsidRPr="005E77C9">
              <w:rPr>
                <w:rFonts w:ascii="Arial" w:eastAsia="Times New Roman" w:hAnsi="Arial" w:cs="Arial"/>
                <w:sz w:val="20"/>
                <w:szCs w:val="20"/>
                <w:lang w:eastAsia="bg-BG"/>
              </w:rPr>
              <w:t>Нетна печалба</w:t>
            </w:r>
          </w:p>
        </w:tc>
        <w:tc>
          <w:tcPr>
            <w:tcW w:w="1040" w:type="dxa"/>
            <w:vMerge w:val="restart"/>
            <w:shd w:val="clear" w:color="auto" w:fill="D9D9D9" w:themeFill="background1" w:themeFillShade="D9"/>
            <w:noWrap/>
            <w:vAlign w:val="center"/>
          </w:tcPr>
          <w:p w:rsidR="00B142B6" w:rsidRPr="005E77C9" w:rsidRDefault="00B142B6" w:rsidP="00B142B6">
            <w:pPr>
              <w:jc w:val="right"/>
              <w:rPr>
                <w:rFonts w:ascii="Arial" w:hAnsi="Arial" w:cs="Arial"/>
                <w:sz w:val="20"/>
                <w:szCs w:val="20"/>
                <w:lang w:eastAsia="bg-BG"/>
              </w:rPr>
            </w:pPr>
            <w:r w:rsidRPr="005E77C9">
              <w:rPr>
                <w:rFonts w:ascii="Arial" w:hAnsi="Arial" w:cs="Arial"/>
                <w:sz w:val="20"/>
                <w:szCs w:val="20"/>
              </w:rPr>
              <w:t>0.03</w:t>
            </w:r>
          </w:p>
        </w:tc>
        <w:tc>
          <w:tcPr>
            <w:tcW w:w="1000" w:type="dxa"/>
            <w:vMerge w:val="restart"/>
            <w:shd w:val="clear" w:color="auto" w:fill="D9D9D9" w:themeFill="background1" w:themeFillShade="D9"/>
            <w:noWrap/>
            <w:vAlign w:val="center"/>
          </w:tcPr>
          <w:p w:rsidR="00B142B6" w:rsidRPr="005E77C9" w:rsidRDefault="00B142B6" w:rsidP="00B142B6">
            <w:pPr>
              <w:jc w:val="right"/>
              <w:rPr>
                <w:rFonts w:ascii="Arial" w:hAnsi="Arial" w:cs="Arial"/>
                <w:sz w:val="20"/>
                <w:szCs w:val="20"/>
              </w:rPr>
            </w:pPr>
            <w:r w:rsidRPr="005E77C9">
              <w:rPr>
                <w:rFonts w:ascii="Arial" w:hAnsi="Arial" w:cs="Arial"/>
                <w:sz w:val="20"/>
                <w:szCs w:val="20"/>
              </w:rPr>
              <w:t>0.03</w:t>
            </w:r>
          </w:p>
        </w:tc>
        <w:tc>
          <w:tcPr>
            <w:tcW w:w="940" w:type="dxa"/>
            <w:vMerge w:val="restart"/>
            <w:shd w:val="clear" w:color="auto" w:fill="D9D9D9" w:themeFill="background1" w:themeFillShade="D9"/>
            <w:noWrap/>
            <w:vAlign w:val="center"/>
          </w:tcPr>
          <w:p w:rsidR="00B142B6" w:rsidRPr="005E77C9" w:rsidRDefault="00B142B6" w:rsidP="00B142B6">
            <w:pPr>
              <w:jc w:val="right"/>
              <w:rPr>
                <w:rFonts w:ascii="Arial" w:hAnsi="Arial" w:cs="Arial"/>
                <w:sz w:val="20"/>
                <w:szCs w:val="20"/>
              </w:rPr>
            </w:pPr>
            <w:r w:rsidRPr="005E77C9">
              <w:rPr>
                <w:rFonts w:ascii="Arial" w:hAnsi="Arial" w:cs="Arial"/>
                <w:sz w:val="20"/>
                <w:szCs w:val="20"/>
              </w:rPr>
              <w:t>0.03</w:t>
            </w:r>
          </w:p>
        </w:tc>
      </w:tr>
      <w:tr w:rsidR="00B142B6" w:rsidRPr="005E77C9" w:rsidTr="00E6489F">
        <w:trPr>
          <w:cnfStyle w:val="000000100000" w:firstRow="0" w:lastRow="0" w:firstColumn="0" w:lastColumn="0" w:oddVBand="0" w:evenVBand="0" w:oddHBand="1" w:evenHBand="0" w:firstRowFirstColumn="0" w:firstRowLastColumn="0" w:lastRowFirstColumn="0" w:lastRowLastColumn="0"/>
          <w:trHeight w:val="345"/>
        </w:trPr>
        <w:tc>
          <w:tcPr>
            <w:tcW w:w="2694" w:type="dxa"/>
            <w:vMerge/>
            <w:shd w:val="clear" w:color="auto" w:fill="BFBFBF" w:themeFill="background1" w:themeFillShade="BF"/>
            <w:vAlign w:val="center"/>
          </w:tcPr>
          <w:p w:rsidR="00B142B6" w:rsidRPr="005E77C9" w:rsidRDefault="00B142B6" w:rsidP="00B142B6">
            <w:pPr>
              <w:rPr>
                <w:rFonts w:ascii="Arial" w:eastAsia="Times New Roman" w:hAnsi="Arial" w:cs="Arial"/>
                <w:sz w:val="20"/>
                <w:szCs w:val="20"/>
                <w:lang w:eastAsia="bg-BG"/>
              </w:rPr>
            </w:pPr>
          </w:p>
        </w:tc>
        <w:tc>
          <w:tcPr>
            <w:tcW w:w="4010" w:type="dxa"/>
            <w:shd w:val="clear" w:color="auto" w:fill="D9D9D9" w:themeFill="background1" w:themeFillShade="D9"/>
            <w:noWrap/>
          </w:tcPr>
          <w:p w:rsidR="00B142B6" w:rsidRPr="005E77C9" w:rsidRDefault="00B142B6" w:rsidP="00B142B6">
            <w:pPr>
              <w:jc w:val="center"/>
              <w:rPr>
                <w:rFonts w:ascii="Arial" w:eastAsia="Times New Roman" w:hAnsi="Arial" w:cs="Arial"/>
                <w:sz w:val="20"/>
                <w:szCs w:val="20"/>
                <w:lang w:eastAsia="bg-BG"/>
              </w:rPr>
            </w:pPr>
            <w:r w:rsidRPr="005E77C9">
              <w:rPr>
                <w:rFonts w:ascii="Arial" w:eastAsia="Times New Roman" w:hAnsi="Arial" w:cs="Arial"/>
                <w:sz w:val="20"/>
                <w:szCs w:val="20"/>
                <w:lang w:eastAsia="bg-BG"/>
              </w:rPr>
              <w:t>Сума на Актива</w:t>
            </w:r>
          </w:p>
        </w:tc>
        <w:tc>
          <w:tcPr>
            <w:tcW w:w="1040" w:type="dxa"/>
            <w:vMerge/>
            <w:shd w:val="clear" w:color="auto" w:fill="BFBFBF" w:themeFill="background1" w:themeFillShade="BF"/>
            <w:vAlign w:val="center"/>
          </w:tcPr>
          <w:p w:rsidR="00B142B6" w:rsidRPr="005E77C9" w:rsidRDefault="00B142B6" w:rsidP="00B142B6">
            <w:pPr>
              <w:jc w:val="right"/>
              <w:rPr>
                <w:rFonts w:ascii="Arial" w:eastAsia="Times New Roman" w:hAnsi="Arial" w:cs="Arial"/>
                <w:sz w:val="20"/>
                <w:szCs w:val="20"/>
                <w:lang w:eastAsia="bg-BG"/>
              </w:rPr>
            </w:pPr>
          </w:p>
        </w:tc>
        <w:tc>
          <w:tcPr>
            <w:tcW w:w="1000" w:type="dxa"/>
            <w:vMerge/>
            <w:shd w:val="clear" w:color="auto" w:fill="BFBFBF" w:themeFill="background1" w:themeFillShade="BF"/>
            <w:vAlign w:val="center"/>
          </w:tcPr>
          <w:p w:rsidR="00B142B6" w:rsidRPr="005E77C9" w:rsidRDefault="00B142B6" w:rsidP="00B142B6">
            <w:pPr>
              <w:jc w:val="right"/>
              <w:rPr>
                <w:rFonts w:ascii="Arial" w:eastAsia="Times New Roman" w:hAnsi="Arial" w:cs="Arial"/>
                <w:sz w:val="20"/>
                <w:szCs w:val="20"/>
                <w:lang w:eastAsia="bg-BG"/>
              </w:rPr>
            </w:pPr>
          </w:p>
        </w:tc>
        <w:tc>
          <w:tcPr>
            <w:tcW w:w="940" w:type="dxa"/>
            <w:vMerge/>
            <w:shd w:val="clear" w:color="auto" w:fill="BFBFBF" w:themeFill="background1" w:themeFillShade="BF"/>
            <w:vAlign w:val="center"/>
          </w:tcPr>
          <w:p w:rsidR="00B142B6" w:rsidRPr="005E77C9" w:rsidRDefault="00B142B6" w:rsidP="00B142B6">
            <w:pPr>
              <w:jc w:val="right"/>
              <w:rPr>
                <w:rFonts w:ascii="Arial" w:eastAsia="Times New Roman" w:hAnsi="Arial" w:cs="Arial"/>
                <w:sz w:val="20"/>
                <w:szCs w:val="20"/>
                <w:lang w:eastAsia="bg-BG"/>
              </w:rPr>
            </w:pPr>
          </w:p>
        </w:tc>
      </w:tr>
      <w:tr w:rsidR="00B142B6" w:rsidRPr="005E77C9" w:rsidTr="00E6489F">
        <w:trPr>
          <w:cnfStyle w:val="000000010000" w:firstRow="0" w:lastRow="0" w:firstColumn="0" w:lastColumn="0" w:oddVBand="0" w:evenVBand="0" w:oddHBand="0" w:evenHBand="1" w:firstRowFirstColumn="0" w:firstRowLastColumn="0" w:lastRowFirstColumn="0" w:lastRowLastColumn="0"/>
          <w:trHeight w:val="345"/>
        </w:trPr>
        <w:tc>
          <w:tcPr>
            <w:tcW w:w="2694" w:type="dxa"/>
            <w:vMerge w:val="restart"/>
            <w:shd w:val="clear" w:color="auto" w:fill="F2F2F2" w:themeFill="background1" w:themeFillShade="F2"/>
            <w:vAlign w:val="center"/>
          </w:tcPr>
          <w:p w:rsidR="00B142B6" w:rsidRPr="005E77C9" w:rsidRDefault="00B142B6" w:rsidP="00B142B6">
            <w:pPr>
              <w:rPr>
                <w:rFonts w:ascii="Arial" w:eastAsia="Times New Roman" w:hAnsi="Arial" w:cs="Arial"/>
                <w:sz w:val="20"/>
                <w:szCs w:val="20"/>
                <w:lang w:eastAsia="bg-BG"/>
              </w:rPr>
            </w:pPr>
            <w:r w:rsidRPr="005E77C9">
              <w:rPr>
                <w:rFonts w:ascii="Arial" w:eastAsia="Times New Roman" w:hAnsi="Arial" w:cs="Arial"/>
                <w:sz w:val="20"/>
                <w:szCs w:val="20"/>
                <w:lang w:eastAsia="bg-BG"/>
              </w:rPr>
              <w:t>2. Възвръщаемост на собствения капитал</w:t>
            </w:r>
          </w:p>
        </w:tc>
        <w:tc>
          <w:tcPr>
            <w:tcW w:w="4010" w:type="dxa"/>
            <w:shd w:val="clear" w:color="auto" w:fill="F2F2F2" w:themeFill="background1" w:themeFillShade="F2"/>
            <w:noWrap/>
            <w:vAlign w:val="bottom"/>
          </w:tcPr>
          <w:p w:rsidR="00B142B6" w:rsidRPr="005E77C9" w:rsidRDefault="00B142B6" w:rsidP="00B142B6">
            <w:pPr>
              <w:jc w:val="center"/>
              <w:rPr>
                <w:rFonts w:ascii="Arial" w:eastAsia="Times New Roman" w:hAnsi="Arial" w:cs="Arial"/>
                <w:sz w:val="20"/>
                <w:szCs w:val="20"/>
                <w:lang w:eastAsia="bg-BG"/>
              </w:rPr>
            </w:pPr>
            <w:r w:rsidRPr="005E77C9">
              <w:rPr>
                <w:rFonts w:ascii="Arial" w:eastAsia="Times New Roman" w:hAnsi="Arial" w:cs="Arial"/>
                <w:sz w:val="20"/>
                <w:szCs w:val="20"/>
                <w:lang w:eastAsia="bg-BG"/>
              </w:rPr>
              <w:t>Нетна печалба</w:t>
            </w:r>
          </w:p>
        </w:tc>
        <w:tc>
          <w:tcPr>
            <w:tcW w:w="1040" w:type="dxa"/>
            <w:vMerge w:val="restart"/>
            <w:shd w:val="clear" w:color="auto" w:fill="F2F2F2" w:themeFill="background1" w:themeFillShade="F2"/>
            <w:noWrap/>
            <w:vAlign w:val="center"/>
          </w:tcPr>
          <w:p w:rsidR="00B142B6" w:rsidRPr="005E77C9" w:rsidRDefault="00B142B6" w:rsidP="00B142B6">
            <w:pPr>
              <w:jc w:val="right"/>
              <w:rPr>
                <w:rFonts w:ascii="Arial" w:hAnsi="Arial" w:cs="Arial"/>
                <w:sz w:val="20"/>
                <w:szCs w:val="20"/>
              </w:rPr>
            </w:pPr>
            <w:r w:rsidRPr="005E77C9">
              <w:rPr>
                <w:rFonts w:ascii="Arial" w:hAnsi="Arial" w:cs="Arial"/>
                <w:sz w:val="20"/>
                <w:szCs w:val="20"/>
              </w:rPr>
              <w:t>0.03</w:t>
            </w:r>
          </w:p>
        </w:tc>
        <w:tc>
          <w:tcPr>
            <w:tcW w:w="1000" w:type="dxa"/>
            <w:vMerge w:val="restart"/>
            <w:shd w:val="clear" w:color="auto" w:fill="F2F2F2" w:themeFill="background1" w:themeFillShade="F2"/>
            <w:noWrap/>
            <w:vAlign w:val="center"/>
          </w:tcPr>
          <w:p w:rsidR="00B142B6" w:rsidRPr="005E77C9" w:rsidRDefault="00B142B6" w:rsidP="00B142B6">
            <w:pPr>
              <w:jc w:val="right"/>
              <w:rPr>
                <w:rFonts w:ascii="Arial" w:hAnsi="Arial" w:cs="Arial"/>
                <w:sz w:val="20"/>
                <w:szCs w:val="20"/>
              </w:rPr>
            </w:pPr>
            <w:r w:rsidRPr="005E77C9">
              <w:rPr>
                <w:rFonts w:ascii="Arial" w:hAnsi="Arial" w:cs="Arial"/>
                <w:sz w:val="20"/>
                <w:szCs w:val="20"/>
              </w:rPr>
              <w:t>0.03</w:t>
            </w:r>
          </w:p>
        </w:tc>
        <w:tc>
          <w:tcPr>
            <w:tcW w:w="940" w:type="dxa"/>
            <w:vMerge w:val="restart"/>
            <w:shd w:val="clear" w:color="auto" w:fill="F2F2F2" w:themeFill="background1" w:themeFillShade="F2"/>
            <w:noWrap/>
            <w:vAlign w:val="center"/>
          </w:tcPr>
          <w:p w:rsidR="00B142B6" w:rsidRPr="005E77C9" w:rsidRDefault="00B142B6" w:rsidP="00B142B6">
            <w:pPr>
              <w:jc w:val="right"/>
              <w:rPr>
                <w:rFonts w:ascii="Arial" w:hAnsi="Arial" w:cs="Arial"/>
                <w:sz w:val="20"/>
                <w:szCs w:val="20"/>
              </w:rPr>
            </w:pPr>
            <w:r w:rsidRPr="005E77C9">
              <w:rPr>
                <w:rFonts w:ascii="Arial" w:hAnsi="Arial" w:cs="Arial"/>
                <w:sz w:val="20"/>
                <w:szCs w:val="20"/>
              </w:rPr>
              <w:t>0.03</w:t>
            </w:r>
          </w:p>
        </w:tc>
      </w:tr>
      <w:tr w:rsidR="00B142B6" w:rsidRPr="005E77C9" w:rsidTr="00E6489F">
        <w:trPr>
          <w:cnfStyle w:val="000000100000" w:firstRow="0" w:lastRow="0" w:firstColumn="0" w:lastColumn="0" w:oddVBand="0" w:evenVBand="0" w:oddHBand="1" w:evenHBand="0" w:firstRowFirstColumn="0" w:firstRowLastColumn="0" w:lastRowFirstColumn="0" w:lastRowLastColumn="0"/>
          <w:trHeight w:val="345"/>
        </w:trPr>
        <w:tc>
          <w:tcPr>
            <w:tcW w:w="2694" w:type="dxa"/>
            <w:vMerge/>
            <w:shd w:val="clear" w:color="auto" w:fill="BFBFBF" w:themeFill="background1" w:themeFillShade="BF"/>
            <w:vAlign w:val="center"/>
          </w:tcPr>
          <w:p w:rsidR="00B142B6" w:rsidRPr="005E77C9" w:rsidRDefault="00B142B6" w:rsidP="00B142B6">
            <w:pPr>
              <w:rPr>
                <w:rFonts w:ascii="Arial" w:eastAsia="Times New Roman" w:hAnsi="Arial" w:cs="Arial"/>
                <w:sz w:val="20"/>
                <w:szCs w:val="20"/>
                <w:lang w:eastAsia="bg-BG"/>
              </w:rPr>
            </w:pPr>
          </w:p>
        </w:tc>
        <w:tc>
          <w:tcPr>
            <w:tcW w:w="4010" w:type="dxa"/>
            <w:shd w:val="clear" w:color="auto" w:fill="F2F2F2" w:themeFill="background1" w:themeFillShade="F2"/>
            <w:noWrap/>
          </w:tcPr>
          <w:p w:rsidR="00B142B6" w:rsidRPr="005E77C9" w:rsidRDefault="00B142B6" w:rsidP="00B142B6">
            <w:pPr>
              <w:jc w:val="center"/>
              <w:rPr>
                <w:rFonts w:ascii="Arial" w:eastAsia="Times New Roman" w:hAnsi="Arial" w:cs="Arial"/>
                <w:sz w:val="20"/>
                <w:szCs w:val="20"/>
                <w:lang w:eastAsia="bg-BG"/>
              </w:rPr>
            </w:pPr>
            <w:r w:rsidRPr="005E77C9">
              <w:rPr>
                <w:rFonts w:ascii="Arial" w:eastAsia="Times New Roman" w:hAnsi="Arial" w:cs="Arial"/>
                <w:sz w:val="20"/>
                <w:szCs w:val="20"/>
                <w:lang w:eastAsia="bg-BG"/>
              </w:rPr>
              <w:t>Собствен капитал</w:t>
            </w:r>
          </w:p>
        </w:tc>
        <w:tc>
          <w:tcPr>
            <w:tcW w:w="1040" w:type="dxa"/>
            <w:vMerge/>
            <w:shd w:val="clear" w:color="auto" w:fill="BFBFBF" w:themeFill="background1" w:themeFillShade="BF"/>
            <w:vAlign w:val="center"/>
          </w:tcPr>
          <w:p w:rsidR="00B142B6" w:rsidRPr="005E77C9" w:rsidRDefault="00B142B6" w:rsidP="00B142B6">
            <w:pPr>
              <w:jc w:val="right"/>
              <w:rPr>
                <w:rFonts w:ascii="Arial" w:eastAsia="Times New Roman" w:hAnsi="Arial" w:cs="Arial"/>
                <w:sz w:val="20"/>
                <w:szCs w:val="20"/>
                <w:lang w:eastAsia="bg-BG"/>
              </w:rPr>
            </w:pPr>
          </w:p>
        </w:tc>
        <w:tc>
          <w:tcPr>
            <w:tcW w:w="1000" w:type="dxa"/>
            <w:vMerge/>
            <w:shd w:val="clear" w:color="auto" w:fill="BFBFBF" w:themeFill="background1" w:themeFillShade="BF"/>
            <w:vAlign w:val="center"/>
          </w:tcPr>
          <w:p w:rsidR="00B142B6" w:rsidRPr="005E77C9" w:rsidRDefault="00B142B6" w:rsidP="00B142B6">
            <w:pPr>
              <w:jc w:val="right"/>
              <w:rPr>
                <w:rFonts w:ascii="Arial" w:eastAsia="Times New Roman" w:hAnsi="Arial" w:cs="Arial"/>
                <w:sz w:val="20"/>
                <w:szCs w:val="20"/>
                <w:lang w:eastAsia="bg-BG"/>
              </w:rPr>
            </w:pPr>
          </w:p>
        </w:tc>
        <w:tc>
          <w:tcPr>
            <w:tcW w:w="940" w:type="dxa"/>
            <w:vMerge/>
            <w:shd w:val="clear" w:color="auto" w:fill="BFBFBF" w:themeFill="background1" w:themeFillShade="BF"/>
            <w:vAlign w:val="center"/>
          </w:tcPr>
          <w:p w:rsidR="00B142B6" w:rsidRPr="005E77C9" w:rsidRDefault="00B142B6" w:rsidP="00B142B6">
            <w:pPr>
              <w:jc w:val="right"/>
              <w:rPr>
                <w:rFonts w:ascii="Arial" w:eastAsia="Times New Roman" w:hAnsi="Arial" w:cs="Arial"/>
                <w:sz w:val="20"/>
                <w:szCs w:val="20"/>
                <w:lang w:eastAsia="bg-BG"/>
              </w:rPr>
            </w:pPr>
          </w:p>
        </w:tc>
      </w:tr>
      <w:tr w:rsidR="00B142B6" w:rsidRPr="005E77C9" w:rsidTr="00E6489F">
        <w:trPr>
          <w:cnfStyle w:val="000000010000" w:firstRow="0" w:lastRow="0" w:firstColumn="0" w:lastColumn="0" w:oddVBand="0" w:evenVBand="0" w:oddHBand="0" w:evenHBand="1" w:firstRowFirstColumn="0" w:firstRowLastColumn="0" w:lastRowFirstColumn="0" w:lastRowLastColumn="0"/>
          <w:trHeight w:val="345"/>
        </w:trPr>
        <w:tc>
          <w:tcPr>
            <w:tcW w:w="2694" w:type="dxa"/>
            <w:vMerge w:val="restart"/>
            <w:shd w:val="clear" w:color="auto" w:fill="D9D9D9" w:themeFill="background1" w:themeFillShade="D9"/>
            <w:vAlign w:val="center"/>
          </w:tcPr>
          <w:p w:rsidR="00B142B6" w:rsidRPr="005E77C9" w:rsidRDefault="00B142B6" w:rsidP="00B142B6">
            <w:pPr>
              <w:rPr>
                <w:rFonts w:ascii="Arial" w:eastAsia="Times New Roman" w:hAnsi="Arial" w:cs="Arial"/>
                <w:sz w:val="20"/>
                <w:szCs w:val="20"/>
                <w:lang w:eastAsia="bg-BG"/>
              </w:rPr>
            </w:pPr>
            <w:r w:rsidRPr="005E77C9">
              <w:rPr>
                <w:rFonts w:ascii="Arial" w:eastAsia="Times New Roman" w:hAnsi="Arial" w:cs="Arial"/>
                <w:sz w:val="20"/>
                <w:szCs w:val="20"/>
                <w:lang w:eastAsia="bg-BG"/>
              </w:rPr>
              <w:t>3. Възвръщаемост на пасивите без СК</w:t>
            </w:r>
          </w:p>
        </w:tc>
        <w:tc>
          <w:tcPr>
            <w:tcW w:w="4010" w:type="dxa"/>
            <w:shd w:val="clear" w:color="auto" w:fill="D9D9D9" w:themeFill="background1" w:themeFillShade="D9"/>
            <w:noWrap/>
            <w:vAlign w:val="bottom"/>
          </w:tcPr>
          <w:p w:rsidR="00B142B6" w:rsidRPr="005E77C9" w:rsidRDefault="00B142B6" w:rsidP="00B142B6">
            <w:pPr>
              <w:jc w:val="center"/>
              <w:rPr>
                <w:rFonts w:ascii="Arial" w:eastAsia="Times New Roman" w:hAnsi="Arial" w:cs="Arial"/>
                <w:sz w:val="20"/>
                <w:szCs w:val="20"/>
                <w:lang w:eastAsia="bg-BG"/>
              </w:rPr>
            </w:pPr>
            <w:r w:rsidRPr="005E77C9">
              <w:rPr>
                <w:rFonts w:ascii="Arial" w:eastAsia="Times New Roman" w:hAnsi="Arial" w:cs="Arial"/>
                <w:sz w:val="20"/>
                <w:szCs w:val="20"/>
                <w:lang w:eastAsia="bg-BG"/>
              </w:rPr>
              <w:t>Нетна печалба</w:t>
            </w:r>
          </w:p>
        </w:tc>
        <w:tc>
          <w:tcPr>
            <w:tcW w:w="1040" w:type="dxa"/>
            <w:vMerge w:val="restart"/>
            <w:shd w:val="clear" w:color="auto" w:fill="D9D9D9" w:themeFill="background1" w:themeFillShade="D9"/>
            <w:noWrap/>
            <w:vAlign w:val="center"/>
          </w:tcPr>
          <w:p w:rsidR="00B142B6" w:rsidRPr="005E77C9" w:rsidRDefault="00B142B6" w:rsidP="00B142B6">
            <w:pPr>
              <w:jc w:val="right"/>
              <w:rPr>
                <w:rFonts w:ascii="Arial" w:hAnsi="Arial" w:cs="Arial"/>
                <w:sz w:val="20"/>
                <w:szCs w:val="20"/>
                <w:lang w:val="en-US"/>
              </w:rPr>
            </w:pPr>
            <w:r w:rsidRPr="005E77C9">
              <w:rPr>
                <w:rFonts w:ascii="Arial" w:hAnsi="Arial" w:cs="Arial"/>
                <w:sz w:val="20"/>
                <w:szCs w:val="20"/>
              </w:rPr>
              <w:t>0.6</w:t>
            </w:r>
            <w:r w:rsidR="00135F12" w:rsidRPr="005E77C9">
              <w:rPr>
                <w:rFonts w:ascii="Arial" w:hAnsi="Arial" w:cs="Arial"/>
                <w:sz w:val="20"/>
                <w:szCs w:val="20"/>
                <w:lang w:val="en-US"/>
              </w:rPr>
              <w:t>2</w:t>
            </w:r>
          </w:p>
        </w:tc>
        <w:tc>
          <w:tcPr>
            <w:tcW w:w="1000" w:type="dxa"/>
            <w:vMerge w:val="restart"/>
            <w:shd w:val="clear" w:color="auto" w:fill="D9D9D9" w:themeFill="background1" w:themeFillShade="D9"/>
            <w:noWrap/>
            <w:vAlign w:val="center"/>
          </w:tcPr>
          <w:p w:rsidR="00B142B6" w:rsidRPr="005E77C9" w:rsidRDefault="00B142B6" w:rsidP="00B142B6">
            <w:pPr>
              <w:jc w:val="right"/>
              <w:rPr>
                <w:rFonts w:ascii="Arial" w:hAnsi="Arial" w:cs="Arial"/>
                <w:sz w:val="20"/>
                <w:szCs w:val="20"/>
              </w:rPr>
            </w:pPr>
            <w:r w:rsidRPr="005E77C9">
              <w:rPr>
                <w:rFonts w:ascii="Arial" w:hAnsi="Arial" w:cs="Arial"/>
                <w:sz w:val="20"/>
                <w:szCs w:val="20"/>
              </w:rPr>
              <w:t>0.58</w:t>
            </w:r>
          </w:p>
        </w:tc>
        <w:tc>
          <w:tcPr>
            <w:tcW w:w="940" w:type="dxa"/>
            <w:vMerge w:val="restart"/>
            <w:shd w:val="clear" w:color="auto" w:fill="D9D9D9" w:themeFill="background1" w:themeFillShade="D9"/>
            <w:noWrap/>
            <w:vAlign w:val="center"/>
          </w:tcPr>
          <w:p w:rsidR="00B142B6" w:rsidRPr="005E77C9" w:rsidRDefault="00B142B6" w:rsidP="00B142B6">
            <w:pPr>
              <w:jc w:val="right"/>
              <w:rPr>
                <w:rFonts w:ascii="Arial" w:hAnsi="Arial" w:cs="Arial"/>
                <w:sz w:val="20"/>
                <w:szCs w:val="20"/>
                <w:lang w:val="en-US"/>
              </w:rPr>
            </w:pPr>
            <w:r w:rsidRPr="005E77C9">
              <w:rPr>
                <w:rFonts w:ascii="Arial" w:hAnsi="Arial" w:cs="Arial"/>
                <w:sz w:val="20"/>
                <w:szCs w:val="20"/>
              </w:rPr>
              <w:t>0.</w:t>
            </w:r>
            <w:r w:rsidR="00135F12" w:rsidRPr="005E77C9">
              <w:rPr>
                <w:rFonts w:ascii="Arial" w:hAnsi="Arial" w:cs="Arial"/>
                <w:sz w:val="20"/>
                <w:szCs w:val="20"/>
                <w:lang w:val="en-US"/>
              </w:rPr>
              <w:t>67</w:t>
            </w:r>
          </w:p>
        </w:tc>
      </w:tr>
      <w:tr w:rsidR="00B142B6" w:rsidRPr="005E77C9" w:rsidTr="00E6489F">
        <w:trPr>
          <w:cnfStyle w:val="000000100000" w:firstRow="0" w:lastRow="0" w:firstColumn="0" w:lastColumn="0" w:oddVBand="0" w:evenVBand="0" w:oddHBand="1" w:evenHBand="0" w:firstRowFirstColumn="0" w:firstRowLastColumn="0" w:lastRowFirstColumn="0" w:lastRowLastColumn="0"/>
          <w:trHeight w:val="345"/>
        </w:trPr>
        <w:tc>
          <w:tcPr>
            <w:tcW w:w="2694" w:type="dxa"/>
            <w:vMerge/>
            <w:shd w:val="clear" w:color="auto" w:fill="BFBFBF" w:themeFill="background1" w:themeFillShade="BF"/>
          </w:tcPr>
          <w:p w:rsidR="00B142B6" w:rsidRPr="005E77C9" w:rsidRDefault="00B142B6" w:rsidP="00B142B6">
            <w:pPr>
              <w:rPr>
                <w:rFonts w:ascii="Arial" w:eastAsia="Times New Roman" w:hAnsi="Arial" w:cs="Arial"/>
                <w:sz w:val="20"/>
                <w:szCs w:val="20"/>
                <w:lang w:eastAsia="bg-BG"/>
              </w:rPr>
            </w:pPr>
          </w:p>
        </w:tc>
        <w:tc>
          <w:tcPr>
            <w:tcW w:w="4010" w:type="dxa"/>
            <w:shd w:val="clear" w:color="auto" w:fill="D9D9D9" w:themeFill="background1" w:themeFillShade="D9"/>
            <w:noWrap/>
          </w:tcPr>
          <w:p w:rsidR="00B142B6" w:rsidRPr="005E77C9" w:rsidRDefault="00B142B6" w:rsidP="00B142B6">
            <w:pPr>
              <w:jc w:val="center"/>
              <w:rPr>
                <w:rFonts w:ascii="Arial" w:eastAsia="Times New Roman" w:hAnsi="Arial" w:cs="Arial"/>
                <w:sz w:val="20"/>
                <w:szCs w:val="20"/>
                <w:lang w:eastAsia="bg-BG"/>
              </w:rPr>
            </w:pPr>
            <w:r w:rsidRPr="005E77C9">
              <w:rPr>
                <w:rFonts w:ascii="Arial" w:eastAsia="Times New Roman" w:hAnsi="Arial" w:cs="Arial"/>
                <w:sz w:val="20"/>
                <w:szCs w:val="20"/>
                <w:lang w:eastAsia="bg-BG"/>
              </w:rPr>
              <w:t>Сума на Пасива (привлечен капитал)</w:t>
            </w:r>
          </w:p>
        </w:tc>
        <w:tc>
          <w:tcPr>
            <w:tcW w:w="1040" w:type="dxa"/>
            <w:vMerge/>
            <w:shd w:val="clear" w:color="auto" w:fill="BFBFBF" w:themeFill="background1" w:themeFillShade="BF"/>
          </w:tcPr>
          <w:p w:rsidR="00B142B6" w:rsidRPr="005E77C9" w:rsidRDefault="00B142B6" w:rsidP="00B142B6">
            <w:pPr>
              <w:rPr>
                <w:rFonts w:ascii="Arial" w:eastAsia="Times New Roman" w:hAnsi="Arial" w:cs="Arial"/>
                <w:sz w:val="20"/>
                <w:szCs w:val="20"/>
                <w:lang w:eastAsia="bg-BG"/>
              </w:rPr>
            </w:pPr>
          </w:p>
        </w:tc>
        <w:tc>
          <w:tcPr>
            <w:tcW w:w="1000" w:type="dxa"/>
            <w:vMerge/>
            <w:shd w:val="clear" w:color="auto" w:fill="BFBFBF" w:themeFill="background1" w:themeFillShade="BF"/>
          </w:tcPr>
          <w:p w:rsidR="00B142B6" w:rsidRPr="005E77C9" w:rsidRDefault="00B142B6" w:rsidP="00B142B6">
            <w:pPr>
              <w:rPr>
                <w:rFonts w:ascii="Arial" w:eastAsia="Times New Roman" w:hAnsi="Arial" w:cs="Arial"/>
                <w:sz w:val="20"/>
                <w:szCs w:val="20"/>
                <w:lang w:eastAsia="bg-BG"/>
              </w:rPr>
            </w:pPr>
          </w:p>
        </w:tc>
        <w:tc>
          <w:tcPr>
            <w:tcW w:w="940" w:type="dxa"/>
            <w:vMerge/>
            <w:shd w:val="clear" w:color="auto" w:fill="BFBFBF" w:themeFill="background1" w:themeFillShade="BF"/>
          </w:tcPr>
          <w:p w:rsidR="00B142B6" w:rsidRPr="005E77C9" w:rsidRDefault="00B142B6" w:rsidP="00B142B6">
            <w:pPr>
              <w:rPr>
                <w:rFonts w:ascii="Arial" w:eastAsia="Times New Roman" w:hAnsi="Arial" w:cs="Arial"/>
                <w:sz w:val="20"/>
                <w:szCs w:val="20"/>
                <w:lang w:eastAsia="bg-BG"/>
              </w:rPr>
            </w:pPr>
          </w:p>
        </w:tc>
      </w:tr>
    </w:tbl>
    <w:p w:rsidR="00AD3735" w:rsidRPr="005E77C9" w:rsidRDefault="00AD3735" w:rsidP="00F41629">
      <w:pPr>
        <w:spacing w:before="120" w:after="120"/>
        <w:ind w:firstLine="720"/>
        <w:jc w:val="both"/>
        <w:rPr>
          <w:rFonts w:eastAsia="Times New Roman"/>
          <w:lang w:eastAsia="bg-BG"/>
        </w:rPr>
      </w:pPr>
      <w:r w:rsidRPr="005E77C9">
        <w:t>Към края на 20</w:t>
      </w:r>
      <w:r w:rsidRPr="005E77C9">
        <w:rPr>
          <w:lang w:val="ru-RU"/>
        </w:rPr>
        <w:t>1</w:t>
      </w:r>
      <w:r w:rsidR="00540CC8" w:rsidRPr="005E77C9">
        <w:rPr>
          <w:lang w:val="ru-RU"/>
        </w:rPr>
        <w:t>9</w:t>
      </w:r>
      <w:r w:rsidRPr="005E77C9">
        <w:t xml:space="preserve">г. </w:t>
      </w:r>
      <w:r w:rsidR="00540CC8" w:rsidRPr="005E77C9">
        <w:t>коефициентът</w:t>
      </w:r>
      <w:r w:rsidRPr="005E77C9">
        <w:t xml:space="preserve"> на </w:t>
      </w:r>
      <w:r w:rsidRPr="005E77C9">
        <w:rPr>
          <w:i/>
          <w:u w:val="single"/>
        </w:rPr>
        <w:t>капитализация на активите</w:t>
      </w:r>
      <w:r w:rsidRPr="005E77C9">
        <w:t xml:space="preserve"> е</w:t>
      </w:r>
      <w:r w:rsidR="00F522DA" w:rsidRPr="005E77C9">
        <w:t xml:space="preserve"> със стойност</w:t>
      </w:r>
      <w:r w:rsidRPr="005E77C9">
        <w:t xml:space="preserve"> 0</w:t>
      </w:r>
      <w:r w:rsidR="00023B0F" w:rsidRPr="005E77C9">
        <w:t>,</w:t>
      </w:r>
      <w:r w:rsidRPr="005E77C9">
        <w:t>0</w:t>
      </w:r>
      <w:r w:rsidR="00CC572B" w:rsidRPr="005E77C9">
        <w:rPr>
          <w:lang w:val="ru-RU"/>
        </w:rPr>
        <w:t>3</w:t>
      </w:r>
      <w:r w:rsidR="008E3F15" w:rsidRPr="005E77C9">
        <w:rPr>
          <w:lang w:val="ru-RU"/>
        </w:rPr>
        <w:t xml:space="preserve"> пункта</w:t>
      </w:r>
      <w:r w:rsidRPr="005E77C9">
        <w:t>, което показва,</w:t>
      </w:r>
      <w:r w:rsidR="00C85C0C" w:rsidRPr="005E77C9">
        <w:t xml:space="preserve"> доколко ефективно са използвани ресурсите (активите) на дружеството. През отчетния период</w:t>
      </w:r>
      <w:r w:rsidRPr="005E77C9">
        <w:t xml:space="preserve"> един лев активи</w:t>
      </w:r>
      <w:r w:rsidR="00C85C0C" w:rsidRPr="005E77C9">
        <w:t xml:space="preserve"> са донесли</w:t>
      </w:r>
      <w:r w:rsidRPr="005E77C9">
        <w:t xml:space="preserve"> на дружеството 0,0</w:t>
      </w:r>
      <w:r w:rsidR="00CC572B" w:rsidRPr="005E77C9">
        <w:rPr>
          <w:lang w:val="ru-RU"/>
        </w:rPr>
        <w:t>3</w:t>
      </w:r>
      <w:r w:rsidRPr="005E77C9">
        <w:t xml:space="preserve"> лв. балансова печалба. </w:t>
      </w:r>
      <w:r w:rsidR="00447F10" w:rsidRPr="005E77C9">
        <w:t>П</w:t>
      </w:r>
      <w:r w:rsidRPr="005E77C9">
        <w:t xml:space="preserve">оказателят </w:t>
      </w:r>
      <w:r w:rsidR="009370D4" w:rsidRPr="005E77C9">
        <w:t xml:space="preserve">отбелязва </w:t>
      </w:r>
      <w:r w:rsidR="00447F10" w:rsidRPr="005E77C9">
        <w:t>устойчивост спрямо 201</w:t>
      </w:r>
      <w:r w:rsidR="00540CC8" w:rsidRPr="005E77C9">
        <w:t>8</w:t>
      </w:r>
      <w:r w:rsidR="00447F10" w:rsidRPr="005E77C9">
        <w:t>г.</w:t>
      </w:r>
      <w:r w:rsidRPr="005E77C9">
        <w:t xml:space="preserve"> </w:t>
      </w:r>
      <w:r w:rsidR="009370D4" w:rsidRPr="005E77C9">
        <w:t xml:space="preserve">За текущата година </w:t>
      </w:r>
      <w:r w:rsidRPr="005E77C9">
        <w:t xml:space="preserve">коефициента на </w:t>
      </w:r>
      <w:r w:rsidRPr="005E77C9">
        <w:rPr>
          <w:i/>
          <w:u w:val="single"/>
        </w:rPr>
        <w:t>възвръщаемост на собствения капитал</w:t>
      </w:r>
      <w:r w:rsidRPr="005E77C9">
        <w:t xml:space="preserve"> показва, че един лев собствен капитал на </w:t>
      </w:r>
      <w:r w:rsidR="00804A86" w:rsidRPr="005E77C9">
        <w:t>„</w:t>
      </w:r>
      <w:r w:rsidRPr="005E77C9">
        <w:t>Пристанищен комплекс–Русе</w:t>
      </w:r>
      <w:r w:rsidR="00804A86" w:rsidRPr="005E77C9">
        <w:t>“</w:t>
      </w:r>
      <w:r w:rsidRPr="005E77C9">
        <w:t xml:space="preserve"> ЕАД носи 0,0</w:t>
      </w:r>
      <w:r w:rsidR="00CC572B" w:rsidRPr="005E77C9">
        <w:t>3</w:t>
      </w:r>
      <w:r w:rsidRPr="005E77C9">
        <w:t>лв. балансова печалба.</w:t>
      </w:r>
      <w:r w:rsidR="0036723E" w:rsidRPr="005E77C9">
        <w:t xml:space="preserve"> </w:t>
      </w:r>
      <w:r w:rsidRPr="005E77C9">
        <w:rPr>
          <w:rFonts w:eastAsia="Times New Roman"/>
          <w:lang w:eastAsia="bg-BG"/>
        </w:rPr>
        <w:t>През 20</w:t>
      </w:r>
      <w:r w:rsidRPr="005E77C9">
        <w:rPr>
          <w:rFonts w:eastAsia="Times New Roman"/>
          <w:lang w:val="ru-RU" w:eastAsia="bg-BG"/>
        </w:rPr>
        <w:t>1</w:t>
      </w:r>
      <w:r w:rsidR="00540CC8" w:rsidRPr="005E77C9">
        <w:rPr>
          <w:rFonts w:eastAsia="Times New Roman"/>
          <w:lang w:val="ru-RU" w:eastAsia="bg-BG"/>
        </w:rPr>
        <w:t>9</w:t>
      </w:r>
      <w:r w:rsidR="00CF2082" w:rsidRPr="005E77C9">
        <w:rPr>
          <w:rFonts w:eastAsia="Times New Roman"/>
          <w:lang w:val="ru-RU" w:eastAsia="bg-BG"/>
        </w:rPr>
        <w:t xml:space="preserve"> </w:t>
      </w:r>
      <w:r w:rsidRPr="005E77C9">
        <w:rPr>
          <w:rFonts w:eastAsia="Times New Roman"/>
          <w:lang w:eastAsia="bg-BG"/>
        </w:rPr>
        <w:t>г</w:t>
      </w:r>
      <w:r w:rsidR="00CF2082" w:rsidRPr="005E77C9">
        <w:rPr>
          <w:rFonts w:eastAsia="Times New Roman"/>
          <w:lang w:eastAsia="bg-BG"/>
        </w:rPr>
        <w:t>од</w:t>
      </w:r>
      <w:r w:rsidRPr="005E77C9">
        <w:rPr>
          <w:rFonts w:eastAsia="Times New Roman"/>
          <w:lang w:eastAsia="bg-BG"/>
        </w:rPr>
        <w:t>.</w:t>
      </w:r>
      <w:r w:rsidR="009370D4" w:rsidRPr="005E77C9">
        <w:rPr>
          <w:rFonts w:eastAsia="Times New Roman"/>
          <w:lang w:eastAsia="bg-BG"/>
        </w:rPr>
        <w:t xml:space="preserve"> показателят за</w:t>
      </w:r>
      <w:r w:rsidRPr="005E77C9">
        <w:rPr>
          <w:rFonts w:eastAsia="Times New Roman"/>
          <w:lang w:eastAsia="bg-BG"/>
        </w:rPr>
        <w:t xml:space="preserve"> </w:t>
      </w:r>
      <w:r w:rsidR="009370D4" w:rsidRPr="005E77C9">
        <w:rPr>
          <w:rFonts w:eastAsia="Times New Roman"/>
          <w:i/>
          <w:u w:val="single"/>
          <w:lang w:eastAsia="bg-BG"/>
        </w:rPr>
        <w:t>възвръщаемост</w:t>
      </w:r>
      <w:r w:rsidRPr="005E77C9">
        <w:rPr>
          <w:rFonts w:eastAsia="Times New Roman"/>
          <w:i/>
          <w:u w:val="single"/>
          <w:lang w:eastAsia="bg-BG"/>
        </w:rPr>
        <w:t xml:space="preserve"> на пасивите</w:t>
      </w:r>
      <w:r w:rsidRPr="005E77C9">
        <w:rPr>
          <w:rFonts w:eastAsia="Times New Roman"/>
          <w:lang w:eastAsia="bg-BG"/>
        </w:rPr>
        <w:t xml:space="preserve"> достига 0,</w:t>
      </w:r>
      <w:r w:rsidR="00447F10" w:rsidRPr="005E77C9">
        <w:rPr>
          <w:rFonts w:eastAsia="Times New Roman"/>
          <w:lang w:eastAsia="bg-BG"/>
        </w:rPr>
        <w:t>6</w:t>
      </w:r>
      <w:r w:rsidR="00540CC8" w:rsidRPr="005E77C9">
        <w:rPr>
          <w:rFonts w:eastAsia="Times New Roman"/>
          <w:lang w:eastAsia="bg-BG"/>
        </w:rPr>
        <w:t>2</w:t>
      </w:r>
      <w:r w:rsidRPr="005E77C9">
        <w:rPr>
          <w:rFonts w:eastAsia="Times New Roman"/>
          <w:lang w:eastAsia="bg-BG"/>
        </w:rPr>
        <w:t xml:space="preserve"> лв. </w:t>
      </w:r>
      <w:r w:rsidR="003D456B" w:rsidRPr="005E77C9">
        <w:rPr>
          <w:rFonts w:eastAsia="Times New Roman"/>
          <w:lang w:eastAsia="bg-BG"/>
        </w:rPr>
        <w:t>при</w:t>
      </w:r>
      <w:r w:rsidRPr="005E77C9">
        <w:rPr>
          <w:rFonts w:eastAsia="Times New Roman"/>
          <w:lang w:eastAsia="bg-BG"/>
        </w:rPr>
        <w:t xml:space="preserve"> </w:t>
      </w:r>
      <w:r w:rsidRPr="005E77C9">
        <w:rPr>
          <w:rFonts w:eastAsia="Times New Roman"/>
          <w:lang w:val="ru-RU" w:eastAsia="bg-BG"/>
        </w:rPr>
        <w:t>0</w:t>
      </w:r>
      <w:r w:rsidR="00F522DA" w:rsidRPr="005E77C9">
        <w:rPr>
          <w:rFonts w:eastAsia="Times New Roman"/>
          <w:lang w:eastAsia="bg-BG"/>
        </w:rPr>
        <w:t>,</w:t>
      </w:r>
      <w:r w:rsidR="00540CC8" w:rsidRPr="005E77C9">
        <w:rPr>
          <w:rFonts w:eastAsia="Times New Roman"/>
          <w:lang w:eastAsia="bg-BG"/>
        </w:rPr>
        <w:t>67</w:t>
      </w:r>
      <w:r w:rsidRPr="005E77C9">
        <w:rPr>
          <w:rFonts w:eastAsia="Times New Roman"/>
          <w:lang w:eastAsia="bg-BG"/>
        </w:rPr>
        <w:t xml:space="preserve"> лв. </w:t>
      </w:r>
      <w:r w:rsidR="003D456B" w:rsidRPr="005E77C9">
        <w:rPr>
          <w:rFonts w:eastAsia="Times New Roman"/>
          <w:lang w:eastAsia="bg-BG"/>
        </w:rPr>
        <w:t>за</w:t>
      </w:r>
      <w:r w:rsidRPr="005E77C9">
        <w:rPr>
          <w:rFonts w:eastAsia="Times New Roman"/>
          <w:lang w:eastAsia="bg-BG"/>
        </w:rPr>
        <w:t xml:space="preserve"> 20</w:t>
      </w:r>
      <w:r w:rsidR="00023B0F" w:rsidRPr="005E77C9">
        <w:rPr>
          <w:rFonts w:eastAsia="Times New Roman"/>
          <w:lang w:eastAsia="bg-BG"/>
        </w:rPr>
        <w:t>1</w:t>
      </w:r>
      <w:r w:rsidR="00540CC8" w:rsidRPr="005E77C9">
        <w:rPr>
          <w:rFonts w:eastAsia="Times New Roman"/>
          <w:lang w:eastAsia="bg-BG"/>
        </w:rPr>
        <w:t>8</w:t>
      </w:r>
      <w:r w:rsidRPr="005E77C9">
        <w:rPr>
          <w:rFonts w:eastAsia="Times New Roman"/>
          <w:lang w:val="ru-RU" w:eastAsia="bg-BG"/>
        </w:rPr>
        <w:t xml:space="preserve"> </w:t>
      </w:r>
      <w:r w:rsidRPr="005E77C9">
        <w:rPr>
          <w:rFonts w:eastAsia="Times New Roman"/>
          <w:lang w:eastAsia="bg-BG"/>
        </w:rPr>
        <w:t xml:space="preserve">г. </w:t>
      </w:r>
      <w:r w:rsidR="003D456B" w:rsidRPr="005E77C9">
        <w:rPr>
          <w:rFonts w:eastAsia="Times New Roman"/>
          <w:lang w:eastAsia="bg-BG"/>
        </w:rPr>
        <w:t>Така е отчетено</w:t>
      </w:r>
      <w:r w:rsidRPr="005E77C9">
        <w:rPr>
          <w:rFonts w:eastAsia="Times New Roman"/>
          <w:lang w:eastAsia="bg-BG"/>
        </w:rPr>
        <w:t xml:space="preserve"> </w:t>
      </w:r>
      <w:r w:rsidR="00540CC8" w:rsidRPr="005E77C9">
        <w:rPr>
          <w:rFonts w:eastAsia="Times New Roman"/>
          <w:lang w:eastAsia="bg-BG"/>
        </w:rPr>
        <w:t>намаление</w:t>
      </w:r>
      <w:r w:rsidRPr="005E77C9">
        <w:rPr>
          <w:rFonts w:eastAsia="Times New Roman"/>
          <w:lang w:eastAsia="bg-BG"/>
        </w:rPr>
        <w:t xml:space="preserve"> на реализираната чиста печалба за 1 лев зает капитал с </w:t>
      </w:r>
      <w:r w:rsidR="00540CC8" w:rsidRPr="005E77C9">
        <w:rPr>
          <w:rFonts w:eastAsia="Times New Roman"/>
          <w:lang w:eastAsia="bg-BG"/>
        </w:rPr>
        <w:t>-</w:t>
      </w:r>
      <w:r w:rsidRPr="005E77C9">
        <w:rPr>
          <w:rFonts w:eastAsia="Times New Roman"/>
          <w:lang w:val="ru-RU" w:eastAsia="bg-BG"/>
        </w:rPr>
        <w:t>0</w:t>
      </w:r>
      <w:r w:rsidRPr="005E77C9">
        <w:rPr>
          <w:rFonts w:eastAsia="Times New Roman"/>
          <w:lang w:eastAsia="bg-BG"/>
        </w:rPr>
        <w:t>,</w:t>
      </w:r>
      <w:r w:rsidR="00540CC8" w:rsidRPr="005E77C9">
        <w:rPr>
          <w:rFonts w:eastAsia="Times New Roman"/>
          <w:lang w:eastAsia="bg-BG"/>
        </w:rPr>
        <w:t>05</w:t>
      </w:r>
      <w:r w:rsidRPr="005E77C9">
        <w:rPr>
          <w:rFonts w:eastAsia="Times New Roman"/>
          <w:lang w:eastAsia="bg-BG"/>
        </w:rPr>
        <w:t xml:space="preserve"> лв.</w:t>
      </w:r>
      <w:r w:rsidR="00540CC8" w:rsidRPr="005E77C9">
        <w:rPr>
          <w:rFonts w:eastAsia="Times New Roman"/>
          <w:lang w:eastAsia="bg-BG"/>
        </w:rPr>
        <w:t xml:space="preserve"> </w:t>
      </w:r>
      <w:r w:rsidR="00D9165E" w:rsidRPr="005E77C9">
        <w:rPr>
          <w:rFonts w:eastAsia="Times New Roman"/>
          <w:lang w:eastAsia="bg-BG"/>
        </w:rPr>
        <w:t>(</w:t>
      </w:r>
      <w:r w:rsidR="00540CC8" w:rsidRPr="005E77C9">
        <w:rPr>
          <w:rFonts w:eastAsia="Times New Roman"/>
          <w:lang w:eastAsia="bg-BG"/>
        </w:rPr>
        <w:t>7%</w:t>
      </w:r>
      <w:r w:rsidR="00D9165E" w:rsidRPr="005E77C9">
        <w:rPr>
          <w:rFonts w:eastAsia="Times New Roman"/>
          <w:lang w:eastAsia="bg-BG"/>
        </w:rPr>
        <w:t>)</w:t>
      </w:r>
    </w:p>
    <w:p w:rsidR="00F00461" w:rsidRPr="00685C28" w:rsidRDefault="00F00461" w:rsidP="00685C28">
      <w:pPr>
        <w:pStyle w:val="ListParagraph"/>
        <w:numPr>
          <w:ilvl w:val="0"/>
          <w:numId w:val="27"/>
        </w:numPr>
        <w:ind w:left="0" w:firstLine="851"/>
        <w:jc w:val="both"/>
        <w:rPr>
          <w:rFonts w:eastAsia="Times New Roman"/>
          <w:lang w:val="ru-RU" w:eastAsia="bg-BG"/>
        </w:rPr>
      </w:pPr>
      <w:r w:rsidRPr="00685C28">
        <w:rPr>
          <w:rFonts w:eastAsia="Times New Roman"/>
          <w:i/>
          <w:u w:val="single"/>
          <w:lang w:eastAsia="bg-BG"/>
        </w:rPr>
        <w:t>Коефициентът на ефективност на разходите</w:t>
      </w:r>
      <w:r w:rsidRPr="00685C28">
        <w:rPr>
          <w:rFonts w:eastAsia="Times New Roman"/>
          <w:lang w:eastAsia="bg-BG"/>
        </w:rPr>
        <w:t xml:space="preserve"> </w:t>
      </w:r>
      <w:r w:rsidR="00033116" w:rsidRPr="00685C28">
        <w:rPr>
          <w:rFonts w:eastAsia="Times New Roman"/>
          <w:lang w:eastAsia="bg-BG"/>
        </w:rPr>
        <w:t>за</w:t>
      </w:r>
      <w:r w:rsidRPr="00685C28">
        <w:rPr>
          <w:rFonts w:eastAsia="Times New Roman"/>
          <w:lang w:eastAsia="bg-BG"/>
        </w:rPr>
        <w:t xml:space="preserve"> обичайна дейност </w:t>
      </w:r>
      <w:r w:rsidR="00C979F9" w:rsidRPr="00685C28">
        <w:rPr>
          <w:rFonts w:eastAsia="Times New Roman"/>
          <w:lang w:eastAsia="bg-BG"/>
        </w:rPr>
        <w:t>за</w:t>
      </w:r>
      <w:r w:rsidRPr="00685C28">
        <w:rPr>
          <w:rFonts w:eastAsia="Times New Roman"/>
          <w:lang w:eastAsia="bg-BG"/>
        </w:rPr>
        <w:t xml:space="preserve"> 20</w:t>
      </w:r>
      <w:r w:rsidRPr="00685C28">
        <w:rPr>
          <w:rFonts w:eastAsia="Times New Roman"/>
          <w:lang w:val="ru-RU" w:eastAsia="bg-BG"/>
        </w:rPr>
        <w:t>1</w:t>
      </w:r>
      <w:r w:rsidR="00B92797" w:rsidRPr="00685C28">
        <w:rPr>
          <w:rFonts w:eastAsia="Times New Roman"/>
          <w:lang w:eastAsia="bg-BG"/>
        </w:rPr>
        <w:t>9</w:t>
      </w:r>
      <w:r w:rsidR="00BB77A4" w:rsidRPr="00685C28">
        <w:rPr>
          <w:rFonts w:eastAsia="Times New Roman"/>
          <w:lang w:eastAsia="bg-BG"/>
        </w:rPr>
        <w:t xml:space="preserve"> </w:t>
      </w:r>
      <w:r w:rsidRPr="00685C28">
        <w:rPr>
          <w:rFonts w:eastAsia="Times New Roman"/>
          <w:lang w:eastAsia="bg-BG"/>
        </w:rPr>
        <w:t>г. е</w:t>
      </w:r>
      <w:r w:rsidR="00023B0F" w:rsidRPr="00685C28">
        <w:rPr>
          <w:rFonts w:eastAsia="Times New Roman"/>
          <w:lang w:eastAsia="bg-BG"/>
        </w:rPr>
        <w:t xml:space="preserve"> със стойност от </w:t>
      </w:r>
      <w:r w:rsidRPr="00685C28">
        <w:rPr>
          <w:rFonts w:eastAsia="Times New Roman"/>
          <w:lang w:eastAsia="bg-BG"/>
        </w:rPr>
        <w:t>1,</w:t>
      </w:r>
      <w:r w:rsidR="009370D4" w:rsidRPr="00685C28">
        <w:rPr>
          <w:rFonts w:eastAsia="Times New Roman"/>
          <w:lang w:val="ru-RU" w:eastAsia="bg-BG"/>
        </w:rPr>
        <w:t>1</w:t>
      </w:r>
      <w:r w:rsidR="00B92797" w:rsidRPr="00685C28">
        <w:rPr>
          <w:rFonts w:eastAsia="Times New Roman"/>
          <w:lang w:eastAsia="bg-BG"/>
        </w:rPr>
        <w:t>1</w:t>
      </w:r>
      <w:r w:rsidRPr="00685C28">
        <w:rPr>
          <w:rFonts w:eastAsia="Times New Roman"/>
          <w:lang w:eastAsia="bg-BG"/>
        </w:rPr>
        <w:t xml:space="preserve"> и показва приходите, реализирани с 1 лев разходи през годината. Той е по-голям от </w:t>
      </w:r>
      <w:r w:rsidR="00033116" w:rsidRPr="00685C28">
        <w:rPr>
          <w:rFonts w:eastAsia="Times New Roman"/>
          <w:lang w:eastAsia="bg-BG"/>
        </w:rPr>
        <w:t>единица</w:t>
      </w:r>
      <w:r w:rsidRPr="00685C28">
        <w:rPr>
          <w:rFonts w:eastAsia="Times New Roman"/>
          <w:lang w:eastAsia="bg-BG"/>
        </w:rPr>
        <w:t xml:space="preserve"> (дружеството приключва г</w:t>
      </w:r>
      <w:r w:rsidR="00033116" w:rsidRPr="00685C28">
        <w:rPr>
          <w:rFonts w:eastAsia="Times New Roman"/>
          <w:lang w:eastAsia="bg-BG"/>
        </w:rPr>
        <w:t xml:space="preserve">одината с печалба от дейността), </w:t>
      </w:r>
      <w:r w:rsidR="00804A86" w:rsidRPr="00685C28">
        <w:rPr>
          <w:rFonts w:eastAsia="Times New Roman"/>
          <w:lang w:eastAsia="bg-BG"/>
        </w:rPr>
        <w:t>и</w:t>
      </w:r>
      <w:r w:rsidRPr="00685C28">
        <w:rPr>
          <w:rFonts w:eastAsia="Times New Roman"/>
          <w:lang w:eastAsia="bg-BG"/>
        </w:rPr>
        <w:t xml:space="preserve"> е </w:t>
      </w:r>
      <w:r w:rsidR="00B92797" w:rsidRPr="00685C28">
        <w:rPr>
          <w:rFonts w:eastAsia="Times New Roman"/>
          <w:lang w:eastAsia="bg-BG"/>
        </w:rPr>
        <w:t xml:space="preserve">с 1% по -нисък от </w:t>
      </w:r>
      <w:r w:rsidRPr="00685C28">
        <w:rPr>
          <w:rFonts w:eastAsia="Times New Roman"/>
          <w:lang w:eastAsia="bg-BG"/>
        </w:rPr>
        <w:t>20</w:t>
      </w:r>
      <w:r w:rsidR="00023B0F" w:rsidRPr="00685C28">
        <w:rPr>
          <w:rFonts w:eastAsia="Times New Roman"/>
          <w:lang w:eastAsia="bg-BG"/>
        </w:rPr>
        <w:t>1</w:t>
      </w:r>
      <w:r w:rsidR="00B92797" w:rsidRPr="00685C28">
        <w:rPr>
          <w:rFonts w:eastAsia="Times New Roman"/>
          <w:lang w:eastAsia="bg-BG"/>
        </w:rPr>
        <w:t>8</w:t>
      </w:r>
      <w:r w:rsidR="00BB77A4" w:rsidRPr="00685C28">
        <w:rPr>
          <w:rFonts w:eastAsia="Times New Roman"/>
          <w:lang w:eastAsia="bg-BG"/>
        </w:rPr>
        <w:t xml:space="preserve"> </w:t>
      </w:r>
      <w:r w:rsidRPr="00685C28">
        <w:rPr>
          <w:rFonts w:eastAsia="Times New Roman"/>
          <w:lang w:eastAsia="bg-BG"/>
        </w:rPr>
        <w:t xml:space="preserve">г. </w:t>
      </w:r>
    </w:p>
    <w:p w:rsidR="00F00461" w:rsidRDefault="002C6A71" w:rsidP="009F323F">
      <w:pPr>
        <w:spacing w:after="120"/>
        <w:ind w:firstLine="720"/>
        <w:jc w:val="both"/>
        <w:rPr>
          <w:rFonts w:eastAsia="Times New Roman"/>
          <w:lang w:eastAsia="bg-BG"/>
        </w:rPr>
      </w:pPr>
      <w:r w:rsidRPr="005E77C9">
        <w:rPr>
          <w:rFonts w:eastAsia="Times New Roman"/>
          <w:lang w:eastAsia="bg-BG"/>
        </w:rPr>
        <w:t>Величината</w:t>
      </w:r>
      <w:r w:rsidR="00F00461" w:rsidRPr="005E77C9">
        <w:rPr>
          <w:rFonts w:eastAsia="Times New Roman"/>
          <w:lang w:eastAsia="bg-BG"/>
        </w:rPr>
        <w:t xml:space="preserve"> на </w:t>
      </w:r>
      <w:r w:rsidR="00F00461" w:rsidRPr="005E77C9">
        <w:rPr>
          <w:rFonts w:eastAsia="Times New Roman"/>
          <w:i/>
          <w:u w:val="single"/>
          <w:lang w:eastAsia="bg-BG"/>
        </w:rPr>
        <w:t>коефициента на ефективност на приходите</w:t>
      </w:r>
      <w:r w:rsidR="00F00461" w:rsidRPr="005E77C9">
        <w:rPr>
          <w:rFonts w:eastAsia="Times New Roman"/>
          <w:lang w:eastAsia="bg-BG"/>
        </w:rPr>
        <w:t xml:space="preserve"> </w:t>
      </w:r>
      <w:r w:rsidR="00023B0F" w:rsidRPr="005E77C9">
        <w:rPr>
          <w:rFonts w:eastAsia="Times New Roman"/>
          <w:lang w:eastAsia="bg-BG"/>
        </w:rPr>
        <w:t xml:space="preserve">показва </w:t>
      </w:r>
      <w:r w:rsidR="00942DBD" w:rsidRPr="005E77C9">
        <w:rPr>
          <w:rFonts w:eastAsia="Times New Roman"/>
          <w:lang w:eastAsia="bg-BG"/>
        </w:rPr>
        <w:t xml:space="preserve">леко </w:t>
      </w:r>
      <w:r w:rsidR="00B92797" w:rsidRPr="005E77C9">
        <w:rPr>
          <w:rFonts w:eastAsia="Times New Roman"/>
          <w:lang w:eastAsia="bg-BG"/>
        </w:rPr>
        <w:t>увеличение</w:t>
      </w:r>
      <w:r w:rsidR="00023B0F" w:rsidRPr="005E77C9">
        <w:rPr>
          <w:rFonts w:eastAsia="Times New Roman"/>
          <w:lang w:eastAsia="bg-BG"/>
        </w:rPr>
        <w:t xml:space="preserve"> при</w:t>
      </w:r>
      <w:r w:rsidR="00F00461" w:rsidRPr="005E77C9">
        <w:rPr>
          <w:rFonts w:eastAsia="Times New Roman"/>
          <w:lang w:eastAsia="bg-BG"/>
        </w:rPr>
        <w:t xml:space="preserve"> разходите, необходими за генерирането на 1 лев приход. </w:t>
      </w:r>
    </w:p>
    <w:p w:rsidR="00207A76" w:rsidRPr="005E77C9" w:rsidRDefault="00207A76" w:rsidP="009F323F">
      <w:pPr>
        <w:spacing w:after="120"/>
        <w:ind w:firstLine="720"/>
        <w:jc w:val="both"/>
        <w:rPr>
          <w:rFonts w:eastAsia="Times New Roman"/>
          <w:lang w:eastAsia="bg-BG"/>
        </w:rPr>
      </w:pPr>
    </w:p>
    <w:tbl>
      <w:tblPr>
        <w:tblStyle w:val="TableContemporary"/>
        <w:tblW w:w="9644" w:type="dxa"/>
        <w:tblLook w:val="0000" w:firstRow="0" w:lastRow="0" w:firstColumn="0" w:lastColumn="0" w:noHBand="0" w:noVBand="0"/>
      </w:tblPr>
      <w:tblGrid>
        <w:gridCol w:w="3153"/>
        <w:gridCol w:w="3551"/>
        <w:gridCol w:w="1000"/>
        <w:gridCol w:w="1000"/>
        <w:gridCol w:w="940"/>
      </w:tblGrid>
      <w:tr w:rsidR="00135F12" w:rsidRPr="005E77C9" w:rsidTr="00E6489F">
        <w:trPr>
          <w:cnfStyle w:val="000000100000" w:firstRow="0" w:lastRow="0" w:firstColumn="0" w:lastColumn="0" w:oddVBand="0" w:evenVBand="0" w:oddHBand="1" w:evenHBand="0" w:firstRowFirstColumn="0" w:firstRowLastColumn="0" w:lastRowFirstColumn="0" w:lastRowLastColumn="0"/>
          <w:trHeight w:val="405"/>
        </w:trPr>
        <w:tc>
          <w:tcPr>
            <w:tcW w:w="6704" w:type="dxa"/>
            <w:gridSpan w:val="2"/>
            <w:shd w:val="clear" w:color="auto" w:fill="BFBFBF" w:themeFill="background1" w:themeFillShade="BF"/>
            <w:noWrap/>
            <w:vAlign w:val="center"/>
          </w:tcPr>
          <w:p w:rsidR="00135F12" w:rsidRPr="005E77C9" w:rsidRDefault="00135F12" w:rsidP="00135F12">
            <w:pPr>
              <w:rPr>
                <w:rFonts w:ascii="Arial" w:eastAsia="Times New Roman" w:hAnsi="Arial" w:cs="Arial"/>
                <w:b/>
                <w:bCs/>
                <w:i/>
                <w:iCs/>
                <w:sz w:val="20"/>
                <w:szCs w:val="20"/>
                <w:u w:val="single"/>
                <w:lang w:eastAsia="bg-BG"/>
              </w:rPr>
            </w:pPr>
            <w:r w:rsidRPr="005E77C9">
              <w:rPr>
                <w:rFonts w:ascii="Arial" w:eastAsia="Times New Roman" w:hAnsi="Arial" w:cs="Arial"/>
                <w:b/>
                <w:bCs/>
                <w:i/>
                <w:iCs/>
                <w:sz w:val="20"/>
                <w:szCs w:val="20"/>
                <w:u w:val="single"/>
                <w:lang w:eastAsia="bg-BG"/>
              </w:rPr>
              <w:lastRenderedPageBreak/>
              <w:t>Коефициенти на ефективност:</w:t>
            </w:r>
          </w:p>
        </w:tc>
        <w:tc>
          <w:tcPr>
            <w:tcW w:w="1000" w:type="dxa"/>
            <w:shd w:val="clear" w:color="auto" w:fill="BFBFBF" w:themeFill="background1" w:themeFillShade="BF"/>
            <w:noWrap/>
            <w:vAlign w:val="center"/>
          </w:tcPr>
          <w:p w:rsidR="00135F12" w:rsidRPr="005E77C9" w:rsidRDefault="00135F12" w:rsidP="00135F12">
            <w:pPr>
              <w:jc w:val="center"/>
              <w:rPr>
                <w:rFonts w:ascii="Arial" w:hAnsi="Arial" w:cs="Arial"/>
                <w:b/>
                <w:bCs/>
                <w:sz w:val="20"/>
                <w:szCs w:val="20"/>
              </w:rPr>
            </w:pPr>
            <w:r w:rsidRPr="005E77C9">
              <w:rPr>
                <w:rFonts w:ascii="Arial" w:hAnsi="Arial" w:cs="Arial"/>
                <w:b/>
                <w:bCs/>
                <w:sz w:val="20"/>
                <w:szCs w:val="20"/>
              </w:rPr>
              <w:t>2019г.</w:t>
            </w:r>
          </w:p>
        </w:tc>
        <w:tc>
          <w:tcPr>
            <w:tcW w:w="1000" w:type="dxa"/>
            <w:shd w:val="clear" w:color="auto" w:fill="BFBFBF" w:themeFill="background1" w:themeFillShade="BF"/>
            <w:noWrap/>
            <w:vAlign w:val="center"/>
          </w:tcPr>
          <w:p w:rsidR="00135F12" w:rsidRPr="005E77C9" w:rsidRDefault="00135F12" w:rsidP="00135F12">
            <w:pPr>
              <w:jc w:val="center"/>
              <w:rPr>
                <w:rFonts w:ascii="Arial" w:hAnsi="Arial" w:cs="Arial"/>
                <w:b/>
                <w:bCs/>
                <w:sz w:val="20"/>
                <w:szCs w:val="20"/>
              </w:rPr>
            </w:pPr>
            <w:r w:rsidRPr="005E77C9">
              <w:rPr>
                <w:rFonts w:ascii="Arial" w:hAnsi="Arial" w:cs="Arial"/>
                <w:b/>
                <w:bCs/>
                <w:sz w:val="20"/>
                <w:szCs w:val="20"/>
              </w:rPr>
              <w:t>БП</w:t>
            </w:r>
          </w:p>
          <w:p w:rsidR="00135F12" w:rsidRPr="005E77C9" w:rsidRDefault="00135F12" w:rsidP="00135F12">
            <w:pPr>
              <w:jc w:val="center"/>
              <w:rPr>
                <w:rFonts w:ascii="Arial" w:hAnsi="Arial" w:cs="Arial"/>
                <w:b/>
                <w:bCs/>
                <w:sz w:val="20"/>
                <w:szCs w:val="20"/>
                <w:lang w:val="en-US"/>
              </w:rPr>
            </w:pPr>
            <w:r w:rsidRPr="005E77C9">
              <w:rPr>
                <w:rFonts w:ascii="Arial" w:hAnsi="Arial" w:cs="Arial"/>
                <w:b/>
                <w:bCs/>
                <w:sz w:val="20"/>
                <w:szCs w:val="20"/>
              </w:rPr>
              <w:t>2019</w:t>
            </w:r>
          </w:p>
        </w:tc>
        <w:tc>
          <w:tcPr>
            <w:tcW w:w="940" w:type="dxa"/>
            <w:shd w:val="clear" w:color="auto" w:fill="BFBFBF" w:themeFill="background1" w:themeFillShade="BF"/>
            <w:noWrap/>
            <w:vAlign w:val="center"/>
          </w:tcPr>
          <w:p w:rsidR="00135F12" w:rsidRPr="005E77C9" w:rsidRDefault="00135F12" w:rsidP="00135F12">
            <w:pPr>
              <w:jc w:val="center"/>
              <w:rPr>
                <w:rFonts w:ascii="Arial" w:hAnsi="Arial" w:cs="Arial"/>
                <w:b/>
                <w:bCs/>
                <w:sz w:val="20"/>
                <w:szCs w:val="20"/>
              </w:rPr>
            </w:pPr>
            <w:r w:rsidRPr="005E77C9">
              <w:rPr>
                <w:rFonts w:ascii="Arial" w:hAnsi="Arial" w:cs="Arial"/>
                <w:b/>
                <w:bCs/>
                <w:sz w:val="20"/>
                <w:szCs w:val="20"/>
              </w:rPr>
              <w:t>2018г.</w:t>
            </w:r>
          </w:p>
        </w:tc>
      </w:tr>
      <w:tr w:rsidR="00E6489F" w:rsidRPr="005E77C9" w:rsidTr="00E6489F">
        <w:trPr>
          <w:cnfStyle w:val="000000010000" w:firstRow="0" w:lastRow="0" w:firstColumn="0" w:lastColumn="0" w:oddVBand="0" w:evenVBand="0" w:oddHBand="0" w:evenHBand="1" w:firstRowFirstColumn="0" w:firstRowLastColumn="0" w:lastRowFirstColumn="0" w:lastRowLastColumn="0"/>
          <w:trHeight w:val="360"/>
        </w:trPr>
        <w:tc>
          <w:tcPr>
            <w:tcW w:w="3153" w:type="dxa"/>
            <w:vMerge w:val="restart"/>
            <w:shd w:val="clear" w:color="auto" w:fill="F2F2F2" w:themeFill="background1" w:themeFillShade="F2"/>
            <w:vAlign w:val="center"/>
          </w:tcPr>
          <w:p w:rsidR="00E6489F" w:rsidRPr="005E77C9" w:rsidRDefault="00E6489F" w:rsidP="00E6489F">
            <w:pPr>
              <w:rPr>
                <w:rFonts w:ascii="Arial" w:eastAsia="Times New Roman" w:hAnsi="Arial" w:cs="Arial"/>
                <w:sz w:val="20"/>
                <w:szCs w:val="20"/>
                <w:lang w:eastAsia="bg-BG"/>
              </w:rPr>
            </w:pPr>
            <w:r w:rsidRPr="005E77C9">
              <w:rPr>
                <w:rFonts w:ascii="Arial" w:eastAsia="Times New Roman" w:hAnsi="Arial" w:cs="Arial"/>
                <w:sz w:val="20"/>
                <w:szCs w:val="20"/>
                <w:lang w:eastAsia="bg-BG"/>
              </w:rPr>
              <w:t>1. Ефективност на разходите за обичайна дейност</w:t>
            </w:r>
          </w:p>
        </w:tc>
        <w:tc>
          <w:tcPr>
            <w:tcW w:w="3551" w:type="dxa"/>
            <w:shd w:val="clear" w:color="auto" w:fill="F2F2F2" w:themeFill="background1" w:themeFillShade="F2"/>
            <w:vAlign w:val="bottom"/>
          </w:tcPr>
          <w:p w:rsidR="00E6489F" w:rsidRPr="005E77C9" w:rsidRDefault="00E6489F" w:rsidP="00E6489F">
            <w:pPr>
              <w:jc w:val="center"/>
              <w:rPr>
                <w:rFonts w:ascii="Arial" w:eastAsia="Times New Roman" w:hAnsi="Arial" w:cs="Arial"/>
                <w:sz w:val="20"/>
                <w:szCs w:val="20"/>
                <w:lang w:eastAsia="bg-BG"/>
              </w:rPr>
            </w:pPr>
            <w:r w:rsidRPr="005E77C9">
              <w:rPr>
                <w:rFonts w:ascii="Arial" w:eastAsia="Times New Roman" w:hAnsi="Arial" w:cs="Arial"/>
                <w:sz w:val="20"/>
                <w:szCs w:val="20"/>
                <w:lang w:eastAsia="bg-BG"/>
              </w:rPr>
              <w:t>Общо приходи от дейността</w:t>
            </w:r>
          </w:p>
        </w:tc>
        <w:tc>
          <w:tcPr>
            <w:tcW w:w="1000" w:type="dxa"/>
            <w:vMerge w:val="restart"/>
            <w:shd w:val="clear" w:color="auto" w:fill="F2F2F2" w:themeFill="background1" w:themeFillShade="F2"/>
            <w:noWrap/>
            <w:vAlign w:val="center"/>
          </w:tcPr>
          <w:p w:rsidR="00E6489F" w:rsidRPr="005E77C9" w:rsidRDefault="00E6489F" w:rsidP="00BE338E">
            <w:pPr>
              <w:jc w:val="right"/>
              <w:rPr>
                <w:rFonts w:ascii="Arial" w:hAnsi="Arial" w:cs="Arial"/>
                <w:sz w:val="20"/>
                <w:szCs w:val="20"/>
                <w:lang w:val="en-US" w:eastAsia="bg-BG"/>
              </w:rPr>
            </w:pPr>
            <w:r w:rsidRPr="005E77C9">
              <w:rPr>
                <w:rFonts w:ascii="Arial" w:hAnsi="Arial" w:cs="Arial"/>
                <w:sz w:val="20"/>
                <w:szCs w:val="20"/>
              </w:rPr>
              <w:t>1.1</w:t>
            </w:r>
            <w:r w:rsidR="00135F12" w:rsidRPr="005E77C9">
              <w:rPr>
                <w:rFonts w:ascii="Arial" w:hAnsi="Arial" w:cs="Arial"/>
                <w:sz w:val="20"/>
                <w:szCs w:val="20"/>
                <w:lang w:val="en-US"/>
              </w:rPr>
              <w:t>1</w:t>
            </w:r>
          </w:p>
        </w:tc>
        <w:tc>
          <w:tcPr>
            <w:tcW w:w="1000" w:type="dxa"/>
            <w:vMerge w:val="restart"/>
            <w:shd w:val="clear" w:color="auto" w:fill="F2F2F2" w:themeFill="background1" w:themeFillShade="F2"/>
            <w:noWrap/>
            <w:vAlign w:val="center"/>
          </w:tcPr>
          <w:p w:rsidR="00E6489F" w:rsidRPr="005E77C9" w:rsidRDefault="00E6489F" w:rsidP="00E6489F">
            <w:pPr>
              <w:jc w:val="right"/>
              <w:rPr>
                <w:rFonts w:ascii="Arial" w:hAnsi="Arial" w:cs="Arial"/>
                <w:sz w:val="20"/>
                <w:szCs w:val="20"/>
                <w:lang w:val="en-US"/>
              </w:rPr>
            </w:pPr>
            <w:r w:rsidRPr="005E77C9">
              <w:rPr>
                <w:rFonts w:ascii="Arial" w:hAnsi="Arial" w:cs="Arial"/>
                <w:sz w:val="20"/>
                <w:szCs w:val="20"/>
              </w:rPr>
              <w:t>1.1</w:t>
            </w:r>
            <w:r w:rsidR="00135F12" w:rsidRPr="005E77C9">
              <w:rPr>
                <w:rFonts w:ascii="Arial" w:hAnsi="Arial" w:cs="Arial"/>
                <w:sz w:val="20"/>
                <w:szCs w:val="20"/>
                <w:lang w:val="en-US"/>
              </w:rPr>
              <w:t>3</w:t>
            </w:r>
          </w:p>
        </w:tc>
        <w:tc>
          <w:tcPr>
            <w:tcW w:w="940" w:type="dxa"/>
            <w:vMerge w:val="restart"/>
            <w:shd w:val="clear" w:color="auto" w:fill="F2F2F2" w:themeFill="background1" w:themeFillShade="F2"/>
            <w:noWrap/>
            <w:vAlign w:val="center"/>
          </w:tcPr>
          <w:p w:rsidR="00E6489F" w:rsidRPr="005E77C9" w:rsidRDefault="00E6489F" w:rsidP="00BE338E">
            <w:pPr>
              <w:jc w:val="right"/>
              <w:rPr>
                <w:rFonts w:ascii="Arial" w:hAnsi="Arial" w:cs="Arial"/>
                <w:sz w:val="20"/>
                <w:szCs w:val="20"/>
              </w:rPr>
            </w:pPr>
            <w:r w:rsidRPr="005E77C9">
              <w:rPr>
                <w:rFonts w:ascii="Arial" w:hAnsi="Arial" w:cs="Arial"/>
                <w:sz w:val="20"/>
                <w:szCs w:val="20"/>
              </w:rPr>
              <w:t>1.1</w:t>
            </w:r>
            <w:r w:rsidR="00BE338E" w:rsidRPr="005E77C9">
              <w:rPr>
                <w:rFonts w:ascii="Arial" w:hAnsi="Arial" w:cs="Arial"/>
                <w:sz w:val="20"/>
                <w:szCs w:val="20"/>
              </w:rPr>
              <w:t>3</w:t>
            </w:r>
          </w:p>
        </w:tc>
      </w:tr>
      <w:tr w:rsidR="00E6489F" w:rsidRPr="005E77C9" w:rsidTr="00E6489F">
        <w:trPr>
          <w:cnfStyle w:val="000000100000" w:firstRow="0" w:lastRow="0" w:firstColumn="0" w:lastColumn="0" w:oddVBand="0" w:evenVBand="0" w:oddHBand="1" w:evenHBand="0" w:firstRowFirstColumn="0" w:firstRowLastColumn="0" w:lastRowFirstColumn="0" w:lastRowLastColumn="0"/>
          <w:trHeight w:val="360"/>
        </w:trPr>
        <w:tc>
          <w:tcPr>
            <w:tcW w:w="3153" w:type="dxa"/>
            <w:vMerge/>
            <w:vAlign w:val="center"/>
          </w:tcPr>
          <w:p w:rsidR="00E6489F" w:rsidRPr="005E77C9" w:rsidRDefault="00E6489F" w:rsidP="00E6489F">
            <w:pPr>
              <w:rPr>
                <w:rFonts w:ascii="Arial" w:eastAsia="Times New Roman" w:hAnsi="Arial" w:cs="Arial"/>
                <w:sz w:val="20"/>
                <w:szCs w:val="20"/>
                <w:lang w:eastAsia="bg-BG"/>
              </w:rPr>
            </w:pPr>
          </w:p>
        </w:tc>
        <w:tc>
          <w:tcPr>
            <w:tcW w:w="3551" w:type="dxa"/>
            <w:shd w:val="clear" w:color="auto" w:fill="F2F2F2" w:themeFill="background1" w:themeFillShade="F2"/>
          </w:tcPr>
          <w:p w:rsidR="00E6489F" w:rsidRPr="005E77C9" w:rsidRDefault="00E6489F" w:rsidP="00361FC0">
            <w:pPr>
              <w:jc w:val="center"/>
              <w:rPr>
                <w:rFonts w:ascii="Arial" w:eastAsia="Times New Roman" w:hAnsi="Arial" w:cs="Arial"/>
                <w:sz w:val="20"/>
                <w:szCs w:val="20"/>
                <w:lang w:eastAsia="bg-BG"/>
              </w:rPr>
            </w:pPr>
            <w:r w:rsidRPr="005E77C9">
              <w:rPr>
                <w:rFonts w:ascii="Arial" w:eastAsia="Times New Roman" w:hAnsi="Arial" w:cs="Arial"/>
                <w:sz w:val="20"/>
                <w:szCs w:val="20"/>
                <w:lang w:eastAsia="bg-BG"/>
              </w:rPr>
              <w:t>Общо разходи за дейността</w:t>
            </w:r>
          </w:p>
        </w:tc>
        <w:tc>
          <w:tcPr>
            <w:tcW w:w="1000" w:type="dxa"/>
            <w:vMerge/>
            <w:vAlign w:val="center"/>
          </w:tcPr>
          <w:p w:rsidR="00E6489F" w:rsidRPr="005E77C9" w:rsidRDefault="00E6489F" w:rsidP="00E6489F">
            <w:pPr>
              <w:jc w:val="right"/>
              <w:rPr>
                <w:rFonts w:ascii="Arial" w:eastAsia="Times New Roman" w:hAnsi="Arial" w:cs="Arial"/>
                <w:sz w:val="20"/>
                <w:szCs w:val="20"/>
                <w:lang w:eastAsia="bg-BG"/>
              </w:rPr>
            </w:pPr>
          </w:p>
        </w:tc>
        <w:tc>
          <w:tcPr>
            <w:tcW w:w="1000" w:type="dxa"/>
            <w:vMerge/>
            <w:vAlign w:val="center"/>
          </w:tcPr>
          <w:p w:rsidR="00E6489F" w:rsidRPr="005E77C9" w:rsidRDefault="00E6489F" w:rsidP="00E6489F">
            <w:pPr>
              <w:jc w:val="right"/>
              <w:rPr>
                <w:rFonts w:ascii="Arial" w:eastAsia="Times New Roman" w:hAnsi="Arial" w:cs="Arial"/>
                <w:sz w:val="20"/>
                <w:szCs w:val="20"/>
                <w:lang w:eastAsia="bg-BG"/>
              </w:rPr>
            </w:pPr>
          </w:p>
        </w:tc>
        <w:tc>
          <w:tcPr>
            <w:tcW w:w="940" w:type="dxa"/>
            <w:vMerge/>
            <w:vAlign w:val="center"/>
          </w:tcPr>
          <w:p w:rsidR="00E6489F" w:rsidRPr="005E77C9" w:rsidRDefault="00E6489F" w:rsidP="00E6489F">
            <w:pPr>
              <w:jc w:val="right"/>
              <w:rPr>
                <w:rFonts w:ascii="Arial" w:eastAsia="Times New Roman" w:hAnsi="Arial" w:cs="Arial"/>
                <w:sz w:val="20"/>
                <w:szCs w:val="20"/>
                <w:lang w:eastAsia="bg-BG"/>
              </w:rPr>
            </w:pPr>
          </w:p>
        </w:tc>
      </w:tr>
      <w:tr w:rsidR="00E6489F" w:rsidRPr="005E77C9" w:rsidTr="00E6489F">
        <w:trPr>
          <w:cnfStyle w:val="000000010000" w:firstRow="0" w:lastRow="0" w:firstColumn="0" w:lastColumn="0" w:oddVBand="0" w:evenVBand="0" w:oddHBand="0" w:evenHBand="1" w:firstRowFirstColumn="0" w:firstRowLastColumn="0" w:lastRowFirstColumn="0" w:lastRowLastColumn="0"/>
          <w:trHeight w:val="360"/>
        </w:trPr>
        <w:tc>
          <w:tcPr>
            <w:tcW w:w="3153" w:type="dxa"/>
            <w:vMerge w:val="restart"/>
            <w:shd w:val="clear" w:color="auto" w:fill="D9D9D9" w:themeFill="background1" w:themeFillShade="D9"/>
            <w:vAlign w:val="center"/>
          </w:tcPr>
          <w:p w:rsidR="00E6489F" w:rsidRPr="005E77C9" w:rsidRDefault="00E6489F" w:rsidP="00E6489F">
            <w:pPr>
              <w:rPr>
                <w:rFonts w:ascii="Arial" w:eastAsia="Times New Roman" w:hAnsi="Arial" w:cs="Arial"/>
                <w:sz w:val="20"/>
                <w:szCs w:val="20"/>
                <w:lang w:eastAsia="bg-BG"/>
              </w:rPr>
            </w:pPr>
            <w:r w:rsidRPr="005E77C9">
              <w:rPr>
                <w:rFonts w:ascii="Arial" w:eastAsia="Times New Roman" w:hAnsi="Arial" w:cs="Arial"/>
                <w:sz w:val="20"/>
                <w:szCs w:val="20"/>
                <w:lang w:eastAsia="bg-BG"/>
              </w:rPr>
              <w:t>2. Ефективност на приходите от обичайна дейност</w:t>
            </w:r>
          </w:p>
        </w:tc>
        <w:tc>
          <w:tcPr>
            <w:tcW w:w="3551" w:type="dxa"/>
            <w:shd w:val="clear" w:color="auto" w:fill="D9D9D9" w:themeFill="background1" w:themeFillShade="D9"/>
            <w:vAlign w:val="bottom"/>
          </w:tcPr>
          <w:p w:rsidR="00E6489F" w:rsidRPr="005E77C9" w:rsidRDefault="00E6489F" w:rsidP="00E6489F">
            <w:pPr>
              <w:jc w:val="center"/>
              <w:rPr>
                <w:rFonts w:ascii="Arial" w:eastAsia="Times New Roman" w:hAnsi="Arial" w:cs="Arial"/>
                <w:sz w:val="20"/>
                <w:szCs w:val="20"/>
                <w:lang w:eastAsia="bg-BG"/>
              </w:rPr>
            </w:pPr>
            <w:r w:rsidRPr="005E77C9">
              <w:rPr>
                <w:rFonts w:ascii="Arial" w:eastAsia="Times New Roman" w:hAnsi="Arial" w:cs="Arial"/>
                <w:sz w:val="20"/>
                <w:szCs w:val="20"/>
                <w:lang w:eastAsia="bg-BG"/>
              </w:rPr>
              <w:t>Общо разходи за дейността</w:t>
            </w:r>
          </w:p>
        </w:tc>
        <w:tc>
          <w:tcPr>
            <w:tcW w:w="1000" w:type="dxa"/>
            <w:vMerge w:val="restart"/>
            <w:shd w:val="clear" w:color="auto" w:fill="D9D9D9" w:themeFill="background1" w:themeFillShade="D9"/>
            <w:noWrap/>
            <w:vAlign w:val="center"/>
          </w:tcPr>
          <w:p w:rsidR="00E6489F" w:rsidRPr="005E77C9" w:rsidRDefault="00E6489F" w:rsidP="00BE338E">
            <w:pPr>
              <w:jc w:val="right"/>
              <w:rPr>
                <w:rFonts w:ascii="Arial" w:hAnsi="Arial" w:cs="Arial"/>
                <w:sz w:val="20"/>
                <w:szCs w:val="20"/>
                <w:lang w:val="en-US"/>
              </w:rPr>
            </w:pPr>
            <w:r w:rsidRPr="005E77C9">
              <w:rPr>
                <w:rFonts w:ascii="Arial" w:hAnsi="Arial" w:cs="Arial"/>
                <w:sz w:val="20"/>
                <w:szCs w:val="20"/>
              </w:rPr>
              <w:t>0.</w:t>
            </w:r>
            <w:r w:rsidR="00135F12" w:rsidRPr="005E77C9">
              <w:rPr>
                <w:rFonts w:ascii="Arial" w:hAnsi="Arial" w:cs="Arial"/>
                <w:sz w:val="20"/>
                <w:szCs w:val="20"/>
                <w:lang w:val="en-US"/>
              </w:rPr>
              <w:t>90</w:t>
            </w:r>
          </w:p>
        </w:tc>
        <w:tc>
          <w:tcPr>
            <w:tcW w:w="1000" w:type="dxa"/>
            <w:vMerge w:val="restart"/>
            <w:shd w:val="clear" w:color="auto" w:fill="D9D9D9" w:themeFill="background1" w:themeFillShade="D9"/>
            <w:noWrap/>
            <w:vAlign w:val="center"/>
          </w:tcPr>
          <w:p w:rsidR="00E6489F" w:rsidRPr="005E77C9" w:rsidRDefault="00E6489F" w:rsidP="00BE338E">
            <w:pPr>
              <w:jc w:val="right"/>
              <w:rPr>
                <w:rFonts w:ascii="Arial" w:hAnsi="Arial" w:cs="Arial"/>
                <w:sz w:val="20"/>
                <w:szCs w:val="20"/>
                <w:lang w:val="en-US"/>
              </w:rPr>
            </w:pPr>
            <w:r w:rsidRPr="005E77C9">
              <w:rPr>
                <w:rFonts w:ascii="Arial" w:hAnsi="Arial" w:cs="Arial"/>
                <w:sz w:val="20"/>
                <w:szCs w:val="20"/>
              </w:rPr>
              <w:t>0.</w:t>
            </w:r>
            <w:r w:rsidR="00BE338E" w:rsidRPr="005E77C9">
              <w:rPr>
                <w:rFonts w:ascii="Arial" w:hAnsi="Arial" w:cs="Arial"/>
                <w:sz w:val="20"/>
                <w:szCs w:val="20"/>
                <w:lang w:val="en-US"/>
              </w:rPr>
              <w:t>89</w:t>
            </w:r>
          </w:p>
        </w:tc>
        <w:tc>
          <w:tcPr>
            <w:tcW w:w="940" w:type="dxa"/>
            <w:vMerge w:val="restart"/>
            <w:shd w:val="clear" w:color="auto" w:fill="D9D9D9" w:themeFill="background1" w:themeFillShade="D9"/>
            <w:noWrap/>
            <w:vAlign w:val="center"/>
          </w:tcPr>
          <w:p w:rsidR="00E6489F" w:rsidRPr="005E77C9" w:rsidRDefault="00E6489F" w:rsidP="00E6489F">
            <w:pPr>
              <w:jc w:val="right"/>
              <w:rPr>
                <w:rFonts w:ascii="Arial" w:hAnsi="Arial" w:cs="Arial"/>
                <w:sz w:val="20"/>
                <w:szCs w:val="20"/>
                <w:lang w:val="en-US"/>
              </w:rPr>
            </w:pPr>
            <w:r w:rsidRPr="005E77C9">
              <w:rPr>
                <w:rFonts w:ascii="Arial" w:hAnsi="Arial" w:cs="Arial"/>
                <w:sz w:val="20"/>
                <w:szCs w:val="20"/>
              </w:rPr>
              <w:t>0.8</w:t>
            </w:r>
            <w:r w:rsidR="00135F12" w:rsidRPr="005E77C9">
              <w:rPr>
                <w:rFonts w:ascii="Arial" w:hAnsi="Arial" w:cs="Arial"/>
                <w:sz w:val="20"/>
                <w:szCs w:val="20"/>
                <w:lang w:val="en-US"/>
              </w:rPr>
              <w:t>8</w:t>
            </w:r>
          </w:p>
        </w:tc>
      </w:tr>
      <w:tr w:rsidR="00E6489F" w:rsidRPr="003D5468" w:rsidTr="00E6489F">
        <w:trPr>
          <w:cnfStyle w:val="000000100000" w:firstRow="0" w:lastRow="0" w:firstColumn="0" w:lastColumn="0" w:oddVBand="0" w:evenVBand="0" w:oddHBand="1" w:evenHBand="0" w:firstRowFirstColumn="0" w:firstRowLastColumn="0" w:lastRowFirstColumn="0" w:lastRowLastColumn="0"/>
          <w:trHeight w:val="360"/>
        </w:trPr>
        <w:tc>
          <w:tcPr>
            <w:tcW w:w="3153" w:type="dxa"/>
            <w:vMerge/>
          </w:tcPr>
          <w:p w:rsidR="00E6489F" w:rsidRPr="005E77C9" w:rsidRDefault="00E6489F" w:rsidP="00665DA4">
            <w:pPr>
              <w:rPr>
                <w:rFonts w:ascii="Arial" w:eastAsia="Times New Roman" w:hAnsi="Arial" w:cs="Arial"/>
                <w:sz w:val="20"/>
                <w:szCs w:val="20"/>
                <w:lang w:eastAsia="bg-BG"/>
              </w:rPr>
            </w:pPr>
          </w:p>
        </w:tc>
        <w:tc>
          <w:tcPr>
            <w:tcW w:w="3551" w:type="dxa"/>
            <w:shd w:val="clear" w:color="auto" w:fill="D9D9D9" w:themeFill="background1" w:themeFillShade="D9"/>
          </w:tcPr>
          <w:p w:rsidR="00E6489F" w:rsidRPr="003D5468" w:rsidRDefault="00E6489F" w:rsidP="00665DA4">
            <w:pPr>
              <w:jc w:val="center"/>
              <w:rPr>
                <w:rFonts w:ascii="Arial" w:eastAsia="Times New Roman" w:hAnsi="Arial" w:cs="Arial"/>
                <w:sz w:val="20"/>
                <w:szCs w:val="20"/>
                <w:lang w:eastAsia="bg-BG"/>
              </w:rPr>
            </w:pPr>
            <w:r w:rsidRPr="005E77C9">
              <w:rPr>
                <w:rFonts w:ascii="Arial" w:eastAsia="Times New Roman" w:hAnsi="Arial" w:cs="Arial"/>
                <w:sz w:val="20"/>
                <w:szCs w:val="20"/>
                <w:lang w:eastAsia="bg-BG"/>
              </w:rPr>
              <w:t>Общо приходи от дейността</w:t>
            </w:r>
          </w:p>
        </w:tc>
        <w:tc>
          <w:tcPr>
            <w:tcW w:w="1000" w:type="dxa"/>
            <w:vMerge/>
          </w:tcPr>
          <w:p w:rsidR="00E6489F" w:rsidRPr="003D5468" w:rsidRDefault="00E6489F" w:rsidP="00665DA4">
            <w:pPr>
              <w:rPr>
                <w:rFonts w:ascii="Arial" w:eastAsia="Times New Roman" w:hAnsi="Arial" w:cs="Arial"/>
                <w:sz w:val="20"/>
                <w:szCs w:val="20"/>
                <w:lang w:eastAsia="bg-BG"/>
              </w:rPr>
            </w:pPr>
          </w:p>
        </w:tc>
        <w:tc>
          <w:tcPr>
            <w:tcW w:w="1000" w:type="dxa"/>
            <w:vMerge/>
          </w:tcPr>
          <w:p w:rsidR="00E6489F" w:rsidRPr="003D5468" w:rsidRDefault="00E6489F" w:rsidP="00665DA4">
            <w:pPr>
              <w:rPr>
                <w:rFonts w:ascii="Arial" w:eastAsia="Times New Roman" w:hAnsi="Arial" w:cs="Arial"/>
                <w:sz w:val="20"/>
                <w:szCs w:val="20"/>
                <w:lang w:eastAsia="bg-BG"/>
              </w:rPr>
            </w:pPr>
          </w:p>
        </w:tc>
        <w:tc>
          <w:tcPr>
            <w:tcW w:w="940" w:type="dxa"/>
            <w:vMerge/>
          </w:tcPr>
          <w:p w:rsidR="00E6489F" w:rsidRPr="003D5468" w:rsidRDefault="00E6489F" w:rsidP="00665DA4">
            <w:pPr>
              <w:rPr>
                <w:rFonts w:ascii="Arial" w:eastAsia="Times New Roman" w:hAnsi="Arial" w:cs="Arial"/>
                <w:sz w:val="20"/>
                <w:szCs w:val="20"/>
                <w:lang w:eastAsia="bg-BG"/>
              </w:rPr>
            </w:pPr>
          </w:p>
        </w:tc>
      </w:tr>
    </w:tbl>
    <w:p w:rsidR="00B92797" w:rsidRDefault="00B92797" w:rsidP="00DD76F5">
      <w:pPr>
        <w:pStyle w:val="Heading2"/>
        <w:numPr>
          <w:ilvl w:val="1"/>
          <w:numId w:val="2"/>
        </w:numPr>
        <w:tabs>
          <w:tab w:val="num" w:pos="540"/>
        </w:tabs>
        <w:spacing w:after="120"/>
        <w:rPr>
          <w:rFonts w:ascii="Times New Roman" w:hAnsi="Times New Roman"/>
          <w:i/>
          <w:smallCaps/>
          <w:sz w:val="24"/>
          <w:u w:val="single"/>
        </w:rPr>
      </w:pPr>
      <w:bookmarkStart w:id="49" w:name="_Toc288478116"/>
    </w:p>
    <w:p w:rsidR="00DF25C9" w:rsidRPr="003D5468" w:rsidRDefault="00BE7AA2" w:rsidP="00DD76F5">
      <w:pPr>
        <w:pStyle w:val="Heading2"/>
        <w:numPr>
          <w:ilvl w:val="1"/>
          <w:numId w:val="2"/>
        </w:numPr>
        <w:tabs>
          <w:tab w:val="num" w:pos="540"/>
        </w:tabs>
        <w:spacing w:after="120"/>
        <w:rPr>
          <w:rFonts w:ascii="Times New Roman" w:hAnsi="Times New Roman"/>
          <w:i/>
          <w:smallCaps/>
          <w:sz w:val="24"/>
          <w:u w:val="single"/>
        </w:rPr>
      </w:pPr>
      <w:bookmarkStart w:id="50" w:name="_Toc40777300"/>
      <w:r w:rsidRPr="003D5468">
        <w:rPr>
          <w:rFonts w:ascii="Times New Roman" w:hAnsi="Times New Roman"/>
          <w:i/>
          <w:smallCaps/>
          <w:sz w:val="24"/>
          <w:u w:val="single"/>
        </w:rPr>
        <w:t xml:space="preserve">3) </w:t>
      </w:r>
      <w:r w:rsidR="00DF25C9" w:rsidRPr="003D5468">
        <w:rPr>
          <w:rFonts w:ascii="Times New Roman" w:hAnsi="Times New Roman"/>
          <w:i/>
          <w:smallCaps/>
          <w:sz w:val="24"/>
          <w:u w:val="single"/>
        </w:rPr>
        <w:t>Финансов резултат</w:t>
      </w:r>
      <w:r w:rsidR="00242DC0" w:rsidRPr="003D5468">
        <w:rPr>
          <w:rFonts w:ascii="Times New Roman" w:hAnsi="Times New Roman"/>
          <w:i/>
          <w:smallCaps/>
          <w:sz w:val="24"/>
          <w:u w:val="single"/>
        </w:rPr>
        <w:t xml:space="preserve">, </w:t>
      </w:r>
      <w:r w:rsidR="00DF25C9" w:rsidRPr="003D5468">
        <w:rPr>
          <w:rFonts w:ascii="Times New Roman" w:hAnsi="Times New Roman"/>
          <w:i/>
          <w:smallCaps/>
          <w:sz w:val="24"/>
          <w:u w:val="single"/>
        </w:rPr>
        <w:t xml:space="preserve"> основни видове </w:t>
      </w:r>
      <w:r w:rsidR="00242DC0" w:rsidRPr="003D5468">
        <w:rPr>
          <w:rFonts w:ascii="Times New Roman" w:hAnsi="Times New Roman"/>
          <w:i/>
          <w:smallCaps/>
          <w:sz w:val="24"/>
          <w:u w:val="single"/>
        </w:rPr>
        <w:t xml:space="preserve">приходи и </w:t>
      </w:r>
      <w:r w:rsidR="00DF25C9" w:rsidRPr="003D5468">
        <w:rPr>
          <w:rFonts w:ascii="Times New Roman" w:hAnsi="Times New Roman"/>
          <w:i/>
          <w:smallCaps/>
          <w:sz w:val="24"/>
          <w:u w:val="single"/>
        </w:rPr>
        <w:t>разходи за дейността</w:t>
      </w:r>
      <w:bookmarkEnd w:id="49"/>
      <w:bookmarkEnd w:id="50"/>
    </w:p>
    <w:p w:rsidR="00804A86" w:rsidRPr="005E77C9" w:rsidRDefault="00023B0F" w:rsidP="00804A86">
      <w:pPr>
        <w:pStyle w:val="BodyTextIndent"/>
        <w:spacing w:after="120"/>
        <w:ind w:firstLine="709"/>
        <w:rPr>
          <w:i/>
          <w:u w:val="single"/>
        </w:rPr>
      </w:pPr>
      <w:r w:rsidRPr="005E77C9">
        <w:t xml:space="preserve">Съобразно </w:t>
      </w:r>
      <w:r w:rsidR="00156771" w:rsidRPr="005E77C9">
        <w:t xml:space="preserve">генерирания </w:t>
      </w:r>
      <w:r w:rsidR="009E1B53" w:rsidRPr="005E77C9">
        <w:t>товароборот,</w:t>
      </w:r>
      <w:r w:rsidRPr="005E77C9">
        <w:t xml:space="preserve"> отчетените приходи </w:t>
      </w:r>
      <w:r w:rsidR="009E1B53" w:rsidRPr="005E77C9">
        <w:t xml:space="preserve">и извършените разходи, </w:t>
      </w:r>
      <w:r w:rsidR="00504562" w:rsidRPr="005E77C9">
        <w:t>„</w:t>
      </w:r>
      <w:r w:rsidRPr="005E77C9">
        <w:t>Пристанищен комплекс – Русе</w:t>
      </w:r>
      <w:r w:rsidR="00504562" w:rsidRPr="005E77C9">
        <w:t>“</w:t>
      </w:r>
      <w:r w:rsidRPr="005E77C9">
        <w:t xml:space="preserve"> ЕАД приключва 201</w:t>
      </w:r>
      <w:r w:rsidR="00A93B4C" w:rsidRPr="005E77C9">
        <w:t>9</w:t>
      </w:r>
      <w:r w:rsidR="00BB77A4" w:rsidRPr="005E77C9">
        <w:t xml:space="preserve"> </w:t>
      </w:r>
      <w:r w:rsidRPr="005E77C9">
        <w:t>г. с</w:t>
      </w:r>
      <w:r w:rsidR="00417FB9" w:rsidRPr="005E77C9">
        <w:t xml:space="preserve"> </w:t>
      </w:r>
      <w:r w:rsidRPr="005E77C9">
        <w:t xml:space="preserve">финансов резултат </w:t>
      </w:r>
      <w:r w:rsidR="00BE51A2" w:rsidRPr="005E77C9">
        <w:t xml:space="preserve">- </w:t>
      </w:r>
      <w:r w:rsidR="00BE51A2" w:rsidRPr="005E77C9">
        <w:rPr>
          <w:i/>
          <w:u w:val="single"/>
        </w:rPr>
        <w:t xml:space="preserve">счетоводна печалба от </w:t>
      </w:r>
      <w:r w:rsidR="00A93B4C" w:rsidRPr="005E77C9">
        <w:rPr>
          <w:b/>
          <w:i/>
          <w:u w:val="single"/>
        </w:rPr>
        <w:t>562</w:t>
      </w:r>
      <w:r w:rsidR="004316FB" w:rsidRPr="005E77C9">
        <w:rPr>
          <w:b/>
          <w:i/>
          <w:u w:val="single"/>
        </w:rPr>
        <w:t xml:space="preserve"> </w:t>
      </w:r>
      <w:r w:rsidR="00BE51A2" w:rsidRPr="005E77C9">
        <w:rPr>
          <w:b/>
          <w:i/>
          <w:u w:val="single"/>
        </w:rPr>
        <w:t>хил.</w:t>
      </w:r>
      <w:r w:rsidR="00BB77A4" w:rsidRPr="005E77C9">
        <w:rPr>
          <w:b/>
          <w:i/>
          <w:u w:val="single"/>
        </w:rPr>
        <w:t xml:space="preserve"> </w:t>
      </w:r>
      <w:r w:rsidR="00BE51A2" w:rsidRPr="005E77C9">
        <w:rPr>
          <w:b/>
          <w:i/>
          <w:u w:val="single"/>
        </w:rPr>
        <w:t>лв</w:t>
      </w:r>
      <w:r w:rsidR="00BE51A2" w:rsidRPr="005E77C9">
        <w:rPr>
          <w:i/>
          <w:u w:val="single"/>
        </w:rPr>
        <w:t>.</w:t>
      </w:r>
      <w:r w:rsidR="00D964BD" w:rsidRPr="005E77C9">
        <w:t xml:space="preserve">, </w:t>
      </w:r>
      <w:r w:rsidR="00504562" w:rsidRPr="005E77C9">
        <w:t xml:space="preserve">което е с </w:t>
      </w:r>
      <w:r w:rsidR="00A93B4C" w:rsidRPr="005E77C9">
        <w:t>-9</w:t>
      </w:r>
      <w:r w:rsidR="00504562" w:rsidRPr="005E77C9">
        <w:t>% по-</w:t>
      </w:r>
      <w:r w:rsidR="00A93B4C" w:rsidRPr="005E77C9">
        <w:t>малко</w:t>
      </w:r>
      <w:r w:rsidR="00504562" w:rsidRPr="005E77C9">
        <w:t xml:space="preserve"> от </w:t>
      </w:r>
      <w:r w:rsidR="00942DBD" w:rsidRPr="005E77C9">
        <w:t xml:space="preserve">предходната година. </w:t>
      </w:r>
    </w:p>
    <w:tbl>
      <w:tblPr>
        <w:tblW w:w="9579" w:type="dxa"/>
        <w:tblInd w:w="55" w:type="dxa"/>
        <w:tblLayout w:type="fixed"/>
        <w:tblCellMar>
          <w:left w:w="70" w:type="dxa"/>
          <w:right w:w="70" w:type="dxa"/>
        </w:tblCellMar>
        <w:tblLook w:val="0000" w:firstRow="0" w:lastRow="0" w:firstColumn="0" w:lastColumn="0" w:noHBand="0" w:noVBand="0"/>
      </w:tblPr>
      <w:tblGrid>
        <w:gridCol w:w="4515"/>
        <w:gridCol w:w="954"/>
        <w:gridCol w:w="992"/>
        <w:gridCol w:w="992"/>
        <w:gridCol w:w="1134"/>
        <w:gridCol w:w="992"/>
      </w:tblGrid>
      <w:tr w:rsidR="00BE51A2" w:rsidRPr="005E77C9" w:rsidTr="00F36D5E">
        <w:trPr>
          <w:trHeight w:val="189"/>
        </w:trPr>
        <w:tc>
          <w:tcPr>
            <w:tcW w:w="4515" w:type="dxa"/>
            <w:tcBorders>
              <w:top w:val="single" w:sz="4" w:space="0" w:color="auto"/>
              <w:left w:val="single" w:sz="4" w:space="0" w:color="auto"/>
              <w:bottom w:val="single" w:sz="4" w:space="0" w:color="auto"/>
            </w:tcBorders>
            <w:shd w:val="clear" w:color="auto" w:fill="BFBFBF" w:themeFill="background1" w:themeFillShade="BF"/>
            <w:vAlign w:val="bottom"/>
          </w:tcPr>
          <w:p w:rsidR="00BE51A2" w:rsidRPr="005E77C9" w:rsidRDefault="00F36D5E" w:rsidP="00B753BD">
            <w:pPr>
              <w:spacing w:beforeLines="40" w:before="96"/>
              <w:rPr>
                <w:sz w:val="22"/>
                <w:szCs w:val="22"/>
              </w:rPr>
            </w:pPr>
            <w:r w:rsidRPr="005E77C9">
              <w:rPr>
                <w:sz w:val="22"/>
                <w:szCs w:val="22"/>
              </w:rPr>
              <w:t>ОТЧЕТ ЗА ПРИХОДИТЕ И РАЗХОДИТЕ</w:t>
            </w:r>
          </w:p>
        </w:tc>
        <w:tc>
          <w:tcPr>
            <w:tcW w:w="9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BE51A2" w:rsidRPr="005E77C9" w:rsidRDefault="00BE51A2" w:rsidP="00B753BD">
            <w:pPr>
              <w:spacing w:beforeLines="40" w:before="96"/>
              <w:jc w:val="center"/>
              <w:rPr>
                <w:i/>
                <w:snapToGrid w:val="0"/>
                <w:color w:val="000000"/>
                <w:sz w:val="18"/>
                <w:szCs w:val="22"/>
                <w:lang w:eastAsia="en-US"/>
              </w:rPr>
            </w:pPr>
            <w:r w:rsidRPr="005E77C9">
              <w:rPr>
                <w:i/>
                <w:snapToGrid w:val="0"/>
                <w:color w:val="000000"/>
                <w:sz w:val="18"/>
                <w:szCs w:val="22"/>
                <w:lang w:eastAsia="en-US"/>
              </w:rPr>
              <w:t>1</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BE51A2" w:rsidRPr="005E77C9" w:rsidRDefault="00BE51A2" w:rsidP="00B753BD">
            <w:pPr>
              <w:spacing w:beforeLines="40" w:before="96"/>
              <w:jc w:val="center"/>
              <w:rPr>
                <w:i/>
                <w:snapToGrid w:val="0"/>
                <w:color w:val="000000"/>
                <w:sz w:val="18"/>
                <w:szCs w:val="22"/>
                <w:lang w:eastAsia="en-US"/>
              </w:rPr>
            </w:pPr>
            <w:r w:rsidRPr="005E77C9">
              <w:rPr>
                <w:i/>
                <w:snapToGrid w:val="0"/>
                <w:color w:val="000000"/>
                <w:sz w:val="18"/>
                <w:szCs w:val="22"/>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BE51A2" w:rsidRPr="005E77C9" w:rsidRDefault="00BE51A2" w:rsidP="00B753BD">
            <w:pPr>
              <w:spacing w:beforeLines="40" w:before="96"/>
              <w:jc w:val="right"/>
              <w:rPr>
                <w:i/>
                <w:snapToGrid w:val="0"/>
                <w:color w:val="000000"/>
                <w:sz w:val="18"/>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BE51A2" w:rsidRPr="005E77C9" w:rsidRDefault="00BE51A2" w:rsidP="00B753BD">
            <w:pPr>
              <w:spacing w:beforeLines="40" w:before="96"/>
              <w:jc w:val="center"/>
              <w:rPr>
                <w:i/>
                <w:snapToGrid w:val="0"/>
                <w:color w:val="000000"/>
                <w:sz w:val="18"/>
                <w:szCs w:val="22"/>
                <w:lang w:eastAsia="en-US"/>
              </w:rPr>
            </w:pPr>
            <w:r w:rsidRPr="005E77C9">
              <w:rPr>
                <w:i/>
                <w:snapToGrid w:val="0"/>
                <w:color w:val="000000"/>
                <w:sz w:val="18"/>
                <w:szCs w:val="22"/>
                <w:lang w:eastAsia="en-US"/>
              </w:rPr>
              <w:t>3</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BE51A2" w:rsidRPr="005E77C9" w:rsidRDefault="00BE51A2" w:rsidP="00B753BD">
            <w:pPr>
              <w:spacing w:beforeLines="40" w:before="96"/>
              <w:jc w:val="right"/>
              <w:rPr>
                <w:snapToGrid w:val="0"/>
                <w:color w:val="000000"/>
                <w:sz w:val="22"/>
                <w:szCs w:val="22"/>
                <w:lang w:eastAsia="en-US"/>
              </w:rPr>
            </w:pPr>
          </w:p>
        </w:tc>
      </w:tr>
      <w:tr w:rsidR="00BE51A2" w:rsidRPr="005E77C9" w:rsidTr="008438C4">
        <w:trPr>
          <w:trHeight w:val="415"/>
        </w:trPr>
        <w:tc>
          <w:tcPr>
            <w:tcW w:w="4515" w:type="dxa"/>
            <w:tcBorders>
              <w:top w:val="single" w:sz="4" w:space="0" w:color="auto"/>
              <w:left w:val="single" w:sz="4" w:space="0" w:color="auto"/>
              <w:right w:val="nil"/>
            </w:tcBorders>
            <w:vAlign w:val="bottom"/>
          </w:tcPr>
          <w:p w:rsidR="00BE51A2" w:rsidRPr="00545A61" w:rsidRDefault="00BE51A2" w:rsidP="00513989">
            <w:pPr>
              <w:rPr>
                <w:rFonts w:ascii="Arial" w:hAnsi="Arial" w:cs="Arial"/>
                <w:sz w:val="20"/>
                <w:szCs w:val="20"/>
              </w:rPr>
            </w:pPr>
            <w:r w:rsidRPr="00545A61">
              <w:rPr>
                <w:rFonts w:ascii="Arial" w:hAnsi="Arial" w:cs="Arial"/>
                <w:sz w:val="20"/>
                <w:szCs w:val="20"/>
              </w:rPr>
              <w:t>в хил. лева</w:t>
            </w:r>
          </w:p>
        </w:tc>
        <w:tc>
          <w:tcPr>
            <w:tcW w:w="954" w:type="dxa"/>
            <w:tcBorders>
              <w:top w:val="single" w:sz="4" w:space="0" w:color="auto"/>
              <w:left w:val="single" w:sz="4" w:space="0" w:color="auto"/>
              <w:bottom w:val="single" w:sz="4" w:space="0" w:color="auto"/>
              <w:right w:val="single" w:sz="4" w:space="0" w:color="auto"/>
            </w:tcBorders>
            <w:vAlign w:val="center"/>
          </w:tcPr>
          <w:p w:rsidR="00513989" w:rsidRPr="00545A61" w:rsidRDefault="00513989" w:rsidP="001D6A94">
            <w:pPr>
              <w:jc w:val="center"/>
              <w:rPr>
                <w:rFonts w:ascii="Arial" w:hAnsi="Arial" w:cs="Arial"/>
                <w:snapToGrid w:val="0"/>
                <w:color w:val="000000"/>
                <w:sz w:val="20"/>
                <w:szCs w:val="20"/>
                <w:lang w:eastAsia="en-US"/>
              </w:rPr>
            </w:pPr>
            <w:r w:rsidRPr="00545A61">
              <w:rPr>
                <w:rFonts w:ascii="Arial" w:hAnsi="Arial" w:cs="Arial"/>
                <w:snapToGrid w:val="0"/>
                <w:color w:val="000000"/>
                <w:sz w:val="20"/>
                <w:szCs w:val="20"/>
                <w:lang w:eastAsia="en-US"/>
              </w:rPr>
              <w:t>201</w:t>
            </w:r>
            <w:r w:rsidR="00033838" w:rsidRPr="00545A61">
              <w:rPr>
                <w:rFonts w:ascii="Arial" w:hAnsi="Arial" w:cs="Arial"/>
                <w:snapToGrid w:val="0"/>
                <w:color w:val="000000"/>
                <w:sz w:val="20"/>
                <w:szCs w:val="20"/>
                <w:lang w:eastAsia="en-US"/>
              </w:rPr>
              <w:t>9</w:t>
            </w:r>
            <w:r w:rsidRPr="00545A61">
              <w:rPr>
                <w:rFonts w:ascii="Arial" w:hAnsi="Arial" w:cs="Arial"/>
                <w:snapToGrid w:val="0"/>
                <w:color w:val="000000"/>
                <w:sz w:val="20"/>
                <w:szCs w:val="20"/>
                <w:lang w:eastAsia="en-US"/>
              </w:rPr>
              <w:t>г.</w:t>
            </w:r>
          </w:p>
        </w:tc>
        <w:tc>
          <w:tcPr>
            <w:tcW w:w="992" w:type="dxa"/>
            <w:tcBorders>
              <w:top w:val="single" w:sz="4" w:space="0" w:color="auto"/>
              <w:left w:val="nil"/>
              <w:bottom w:val="single" w:sz="4" w:space="0" w:color="auto"/>
              <w:right w:val="single" w:sz="4" w:space="0" w:color="auto"/>
            </w:tcBorders>
            <w:vAlign w:val="center"/>
          </w:tcPr>
          <w:p w:rsidR="00BE51A2" w:rsidRPr="00545A61" w:rsidRDefault="00BE51A2" w:rsidP="00B753BD">
            <w:pPr>
              <w:jc w:val="center"/>
              <w:rPr>
                <w:rFonts w:ascii="Arial" w:hAnsi="Arial" w:cs="Arial"/>
                <w:snapToGrid w:val="0"/>
                <w:color w:val="000000"/>
                <w:sz w:val="20"/>
                <w:szCs w:val="20"/>
                <w:lang w:eastAsia="en-US"/>
              </w:rPr>
            </w:pPr>
            <w:r w:rsidRPr="00545A61">
              <w:rPr>
                <w:rFonts w:ascii="Arial" w:hAnsi="Arial" w:cs="Arial"/>
                <w:snapToGrid w:val="0"/>
                <w:color w:val="000000"/>
                <w:sz w:val="20"/>
                <w:szCs w:val="20"/>
                <w:lang w:eastAsia="en-US"/>
              </w:rPr>
              <w:t>бизнес план</w:t>
            </w:r>
          </w:p>
        </w:tc>
        <w:tc>
          <w:tcPr>
            <w:tcW w:w="992" w:type="dxa"/>
            <w:tcBorders>
              <w:top w:val="single" w:sz="4" w:space="0" w:color="auto"/>
              <w:left w:val="nil"/>
              <w:bottom w:val="single" w:sz="4" w:space="0" w:color="auto"/>
              <w:right w:val="nil"/>
            </w:tcBorders>
            <w:vAlign w:val="center"/>
          </w:tcPr>
          <w:p w:rsidR="00BE51A2" w:rsidRPr="00545A61" w:rsidRDefault="00BE51A2" w:rsidP="00B753BD">
            <w:pPr>
              <w:jc w:val="center"/>
              <w:rPr>
                <w:rFonts w:ascii="Arial" w:hAnsi="Arial" w:cs="Arial"/>
                <w:snapToGrid w:val="0"/>
                <w:color w:val="000000"/>
                <w:sz w:val="20"/>
                <w:szCs w:val="20"/>
                <w:lang w:eastAsia="en-US"/>
              </w:rPr>
            </w:pPr>
            <w:r w:rsidRPr="00545A61">
              <w:rPr>
                <w:rFonts w:ascii="Arial" w:hAnsi="Arial" w:cs="Arial"/>
                <w:snapToGrid w:val="0"/>
                <w:color w:val="000000"/>
                <w:sz w:val="20"/>
                <w:szCs w:val="20"/>
                <w:lang w:eastAsia="en-US"/>
              </w:rPr>
              <w:t>1/2 (%)</w:t>
            </w:r>
          </w:p>
        </w:tc>
        <w:tc>
          <w:tcPr>
            <w:tcW w:w="1134" w:type="dxa"/>
            <w:tcBorders>
              <w:top w:val="single" w:sz="4" w:space="0" w:color="auto"/>
              <w:left w:val="single" w:sz="4" w:space="0" w:color="auto"/>
              <w:bottom w:val="single" w:sz="4" w:space="0" w:color="auto"/>
              <w:right w:val="single" w:sz="4" w:space="0" w:color="auto"/>
            </w:tcBorders>
            <w:vAlign w:val="center"/>
          </w:tcPr>
          <w:p w:rsidR="00BE51A2" w:rsidRPr="00545A61" w:rsidRDefault="00513989" w:rsidP="001D6A94">
            <w:pPr>
              <w:jc w:val="center"/>
              <w:rPr>
                <w:rFonts w:ascii="Arial" w:hAnsi="Arial" w:cs="Arial"/>
                <w:snapToGrid w:val="0"/>
                <w:color w:val="000000"/>
                <w:sz w:val="20"/>
                <w:szCs w:val="20"/>
                <w:lang w:eastAsia="en-US"/>
              </w:rPr>
            </w:pPr>
            <w:r w:rsidRPr="00545A61">
              <w:rPr>
                <w:rFonts w:ascii="Arial" w:hAnsi="Arial" w:cs="Arial"/>
                <w:snapToGrid w:val="0"/>
                <w:color w:val="000000"/>
                <w:sz w:val="20"/>
                <w:szCs w:val="20"/>
                <w:lang w:eastAsia="en-US"/>
              </w:rPr>
              <w:t>201</w:t>
            </w:r>
            <w:r w:rsidR="00033838" w:rsidRPr="00545A61">
              <w:rPr>
                <w:rFonts w:ascii="Arial" w:hAnsi="Arial" w:cs="Arial"/>
                <w:snapToGrid w:val="0"/>
                <w:color w:val="000000"/>
                <w:sz w:val="20"/>
                <w:szCs w:val="20"/>
                <w:lang w:eastAsia="en-US"/>
              </w:rPr>
              <w:t>8</w:t>
            </w:r>
            <w:r w:rsidRPr="00545A61">
              <w:rPr>
                <w:rFonts w:ascii="Arial" w:hAnsi="Arial" w:cs="Arial"/>
                <w:snapToGrid w:val="0"/>
                <w:color w:val="000000"/>
                <w:sz w:val="20"/>
                <w:szCs w:val="20"/>
                <w:lang w:eastAsia="en-US"/>
              </w:rPr>
              <w:t>г.</w:t>
            </w:r>
          </w:p>
        </w:tc>
        <w:tc>
          <w:tcPr>
            <w:tcW w:w="992" w:type="dxa"/>
            <w:tcBorders>
              <w:top w:val="single" w:sz="4" w:space="0" w:color="auto"/>
              <w:left w:val="nil"/>
              <w:bottom w:val="single" w:sz="4" w:space="0" w:color="auto"/>
              <w:right w:val="single" w:sz="4" w:space="0" w:color="auto"/>
            </w:tcBorders>
            <w:vAlign w:val="center"/>
          </w:tcPr>
          <w:p w:rsidR="00BE51A2" w:rsidRPr="00545A61" w:rsidRDefault="00BE51A2" w:rsidP="00B753BD">
            <w:pPr>
              <w:rPr>
                <w:rFonts w:ascii="Arial" w:hAnsi="Arial" w:cs="Arial"/>
                <w:snapToGrid w:val="0"/>
                <w:color w:val="000000"/>
                <w:sz w:val="20"/>
                <w:szCs w:val="20"/>
                <w:lang w:val="en-US" w:eastAsia="en-US"/>
              </w:rPr>
            </w:pPr>
            <w:r w:rsidRPr="00545A61">
              <w:rPr>
                <w:rFonts w:ascii="Arial" w:hAnsi="Arial" w:cs="Arial"/>
                <w:snapToGrid w:val="0"/>
                <w:color w:val="000000"/>
                <w:sz w:val="20"/>
                <w:szCs w:val="20"/>
                <w:lang w:val="en-US" w:eastAsia="en-US"/>
              </w:rPr>
              <w:t> 1/3 (%)</w:t>
            </w:r>
          </w:p>
        </w:tc>
      </w:tr>
      <w:tr w:rsidR="00033838" w:rsidRPr="00685C28" w:rsidTr="00033838">
        <w:trPr>
          <w:trHeight w:val="268"/>
        </w:trPr>
        <w:tc>
          <w:tcPr>
            <w:tcW w:w="4515" w:type="dxa"/>
            <w:tcBorders>
              <w:top w:val="single" w:sz="4" w:space="0" w:color="auto"/>
              <w:left w:val="single" w:sz="4" w:space="0" w:color="auto"/>
              <w:bottom w:val="single" w:sz="4" w:space="0" w:color="auto"/>
              <w:right w:val="single" w:sz="4" w:space="0" w:color="auto"/>
            </w:tcBorders>
            <w:vAlign w:val="bottom"/>
          </w:tcPr>
          <w:p w:rsidR="00033838" w:rsidRPr="00685C28" w:rsidRDefault="00033838" w:rsidP="00033838">
            <w:pPr>
              <w:spacing w:beforeLines="40" w:before="96"/>
              <w:rPr>
                <w:rFonts w:ascii="Arial" w:hAnsi="Arial" w:cs="Arial"/>
                <w:b/>
                <w:sz w:val="20"/>
                <w:szCs w:val="20"/>
              </w:rPr>
            </w:pPr>
            <w:r w:rsidRPr="00685C28">
              <w:rPr>
                <w:rFonts w:ascii="Arial" w:hAnsi="Arial" w:cs="Arial"/>
                <w:b/>
                <w:sz w:val="20"/>
                <w:szCs w:val="20"/>
              </w:rPr>
              <w:t>Нетни приходи от продажби, в т.ч.:</w:t>
            </w:r>
          </w:p>
        </w:tc>
        <w:tc>
          <w:tcPr>
            <w:tcW w:w="954" w:type="dxa"/>
            <w:tcBorders>
              <w:top w:val="single" w:sz="4" w:space="0" w:color="auto"/>
              <w:left w:val="single" w:sz="4" w:space="0" w:color="auto"/>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lang w:eastAsia="bg-BG"/>
              </w:rPr>
            </w:pPr>
            <w:r w:rsidRPr="00685C28">
              <w:rPr>
                <w:rFonts w:ascii="Arial" w:hAnsi="Arial" w:cs="Arial"/>
                <w:sz w:val="20"/>
                <w:szCs w:val="20"/>
              </w:rPr>
              <w:t>5 236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5 263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5 2</w:t>
            </w:r>
            <w:r w:rsidR="00573A84" w:rsidRPr="00685C28">
              <w:rPr>
                <w:rFonts w:ascii="Arial" w:hAnsi="Arial" w:cs="Arial"/>
                <w:sz w:val="20"/>
                <w:szCs w:val="20"/>
              </w:rPr>
              <w:t>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-0.</w:t>
            </w:r>
            <w:r w:rsidR="00573A84" w:rsidRPr="00685C28">
              <w:rPr>
                <w:rFonts w:ascii="Arial" w:hAnsi="Arial" w:cs="Arial"/>
                <w:sz w:val="20"/>
                <w:szCs w:val="20"/>
              </w:rPr>
              <w:t>3</w:t>
            </w:r>
            <w:r w:rsidRPr="00685C28">
              <w:rPr>
                <w:rFonts w:ascii="Arial" w:hAnsi="Arial" w:cs="Arial"/>
                <w:sz w:val="20"/>
                <w:szCs w:val="20"/>
              </w:rPr>
              <w:t>%</w:t>
            </w:r>
          </w:p>
        </w:tc>
      </w:tr>
      <w:tr w:rsidR="00033838" w:rsidRPr="00685C28" w:rsidTr="00033838">
        <w:trPr>
          <w:trHeight w:val="256"/>
        </w:trPr>
        <w:tc>
          <w:tcPr>
            <w:tcW w:w="4515" w:type="dxa"/>
            <w:tcBorders>
              <w:top w:val="single" w:sz="4" w:space="0" w:color="auto"/>
              <w:left w:val="single" w:sz="4" w:space="0" w:color="auto"/>
              <w:bottom w:val="single" w:sz="4" w:space="0" w:color="auto"/>
              <w:right w:val="single" w:sz="4" w:space="0" w:color="auto"/>
            </w:tcBorders>
            <w:vAlign w:val="bottom"/>
          </w:tcPr>
          <w:p w:rsidR="00033838" w:rsidRPr="00685C28" w:rsidRDefault="00033838" w:rsidP="00033838">
            <w:pPr>
              <w:spacing w:beforeLines="40" w:before="96"/>
              <w:rPr>
                <w:rFonts w:ascii="Arial" w:hAnsi="Arial" w:cs="Arial"/>
                <w:sz w:val="20"/>
                <w:szCs w:val="20"/>
              </w:rPr>
            </w:pPr>
            <w:r w:rsidRPr="00685C28">
              <w:rPr>
                <w:rFonts w:ascii="Arial" w:hAnsi="Arial" w:cs="Arial"/>
                <w:sz w:val="20"/>
                <w:szCs w:val="20"/>
              </w:rPr>
              <w:t>- приходи от претоварна дейност</w:t>
            </w:r>
          </w:p>
        </w:tc>
        <w:tc>
          <w:tcPr>
            <w:tcW w:w="954" w:type="dxa"/>
            <w:tcBorders>
              <w:top w:val="single" w:sz="4" w:space="0" w:color="auto"/>
              <w:left w:val="single" w:sz="4" w:space="0" w:color="auto"/>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2 624</w:t>
            </w:r>
          </w:p>
        </w:tc>
        <w:tc>
          <w:tcPr>
            <w:tcW w:w="992" w:type="dxa"/>
            <w:tcBorders>
              <w:top w:val="single" w:sz="4" w:space="0" w:color="auto"/>
              <w:left w:val="nil"/>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2 768</w:t>
            </w:r>
          </w:p>
        </w:tc>
        <w:tc>
          <w:tcPr>
            <w:tcW w:w="992" w:type="dxa"/>
            <w:tcBorders>
              <w:top w:val="single" w:sz="4" w:space="0" w:color="auto"/>
              <w:left w:val="nil"/>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-5.2%</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2 691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-2.5%</w:t>
            </w:r>
          </w:p>
        </w:tc>
      </w:tr>
      <w:tr w:rsidR="00033838" w:rsidRPr="00685C28" w:rsidTr="00033838">
        <w:trPr>
          <w:trHeight w:val="256"/>
        </w:trPr>
        <w:tc>
          <w:tcPr>
            <w:tcW w:w="4515" w:type="dxa"/>
            <w:tcBorders>
              <w:top w:val="single" w:sz="4" w:space="0" w:color="auto"/>
              <w:left w:val="single" w:sz="4" w:space="0" w:color="auto"/>
              <w:bottom w:val="single" w:sz="4" w:space="0" w:color="auto"/>
              <w:right w:val="single" w:sz="4" w:space="0" w:color="auto"/>
            </w:tcBorders>
            <w:vAlign w:val="bottom"/>
          </w:tcPr>
          <w:p w:rsidR="00033838" w:rsidRPr="00685C28" w:rsidRDefault="00033838" w:rsidP="00033838">
            <w:pPr>
              <w:spacing w:beforeLines="40" w:before="96"/>
              <w:rPr>
                <w:rFonts w:ascii="Arial" w:hAnsi="Arial" w:cs="Arial"/>
                <w:sz w:val="20"/>
                <w:szCs w:val="20"/>
              </w:rPr>
            </w:pPr>
            <w:r w:rsidRPr="00685C28">
              <w:rPr>
                <w:rFonts w:ascii="Arial" w:hAnsi="Arial" w:cs="Arial"/>
                <w:sz w:val="20"/>
                <w:szCs w:val="20"/>
              </w:rPr>
              <w:t>- други</w:t>
            </w:r>
          </w:p>
        </w:tc>
        <w:tc>
          <w:tcPr>
            <w:tcW w:w="954" w:type="dxa"/>
            <w:tcBorders>
              <w:top w:val="nil"/>
              <w:left w:val="single" w:sz="4" w:space="0" w:color="auto"/>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2 612</w:t>
            </w:r>
          </w:p>
        </w:tc>
        <w:tc>
          <w:tcPr>
            <w:tcW w:w="992" w:type="dxa"/>
            <w:tcBorders>
              <w:top w:val="nil"/>
              <w:left w:val="nil"/>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2 495</w:t>
            </w:r>
          </w:p>
        </w:tc>
        <w:tc>
          <w:tcPr>
            <w:tcW w:w="992" w:type="dxa"/>
            <w:tcBorders>
              <w:top w:val="nil"/>
              <w:left w:val="nil"/>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4.7%</w:t>
            </w:r>
          </w:p>
        </w:tc>
        <w:tc>
          <w:tcPr>
            <w:tcW w:w="1134" w:type="dxa"/>
            <w:tcBorders>
              <w:top w:val="nil"/>
              <w:left w:val="nil"/>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2 56</w:t>
            </w:r>
            <w:r w:rsidR="00573A84" w:rsidRPr="00685C28">
              <w:rPr>
                <w:rFonts w:ascii="Arial" w:hAnsi="Arial" w:cs="Arial"/>
                <w:sz w:val="20"/>
                <w:szCs w:val="20"/>
              </w:rPr>
              <w:t>2</w:t>
            </w:r>
          </w:p>
        </w:tc>
        <w:tc>
          <w:tcPr>
            <w:tcW w:w="992" w:type="dxa"/>
            <w:tcBorders>
              <w:top w:val="nil"/>
              <w:left w:val="single" w:sz="4" w:space="0" w:color="auto"/>
              <w:bottom w:val="single" w:sz="4" w:space="0" w:color="auto"/>
              <w:right w:val="single" w:sz="4" w:space="0" w:color="auto"/>
            </w:tcBorders>
            <w:shd w:val="clear" w:color="auto" w:fill="auto"/>
            <w:vAlign w:val="bottom"/>
          </w:tcPr>
          <w:p w:rsidR="00033838" w:rsidRPr="00685C28" w:rsidRDefault="00694912" w:rsidP="00033838">
            <w:pPr>
              <w:jc w:val="right"/>
              <w:rPr>
                <w:rFonts w:ascii="Arial" w:hAnsi="Arial" w:cs="Arial"/>
                <w:sz w:val="20"/>
                <w:szCs w:val="20"/>
              </w:rPr>
            </w:pPr>
            <w:r w:rsidRPr="00685C28">
              <w:rPr>
                <w:rFonts w:ascii="Arial" w:hAnsi="Arial" w:cs="Arial"/>
                <w:sz w:val="20"/>
                <w:szCs w:val="20"/>
              </w:rPr>
              <w:t>2,0</w:t>
            </w:r>
            <w:r w:rsidR="00033838" w:rsidRPr="00685C28">
              <w:rPr>
                <w:rFonts w:ascii="Arial" w:hAnsi="Arial" w:cs="Arial"/>
                <w:sz w:val="20"/>
                <w:szCs w:val="20"/>
              </w:rPr>
              <w:t>%</w:t>
            </w:r>
          </w:p>
        </w:tc>
      </w:tr>
      <w:tr w:rsidR="00033838" w:rsidRPr="00685C28" w:rsidTr="00033838">
        <w:trPr>
          <w:trHeight w:val="256"/>
        </w:trPr>
        <w:tc>
          <w:tcPr>
            <w:tcW w:w="4515" w:type="dxa"/>
            <w:tcBorders>
              <w:top w:val="single" w:sz="4" w:space="0" w:color="auto"/>
              <w:left w:val="single" w:sz="4" w:space="0" w:color="auto"/>
              <w:bottom w:val="single" w:sz="4" w:space="0" w:color="auto"/>
              <w:right w:val="single" w:sz="4" w:space="0" w:color="auto"/>
            </w:tcBorders>
            <w:vAlign w:val="bottom"/>
          </w:tcPr>
          <w:p w:rsidR="00033838" w:rsidRPr="00685C28" w:rsidRDefault="00033838" w:rsidP="00033838">
            <w:pPr>
              <w:spacing w:beforeLines="40" w:before="96"/>
              <w:rPr>
                <w:rFonts w:ascii="Arial" w:hAnsi="Arial" w:cs="Arial"/>
                <w:sz w:val="20"/>
                <w:szCs w:val="20"/>
              </w:rPr>
            </w:pPr>
            <w:r w:rsidRPr="00685C28">
              <w:rPr>
                <w:rFonts w:ascii="Arial" w:hAnsi="Arial" w:cs="Arial"/>
                <w:sz w:val="20"/>
                <w:szCs w:val="20"/>
              </w:rPr>
              <w:t>Други приходи</w:t>
            </w:r>
          </w:p>
        </w:tc>
        <w:tc>
          <w:tcPr>
            <w:tcW w:w="954" w:type="dxa"/>
            <w:tcBorders>
              <w:top w:val="nil"/>
              <w:left w:val="single" w:sz="4" w:space="0" w:color="auto"/>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412</w:t>
            </w:r>
          </w:p>
        </w:tc>
        <w:tc>
          <w:tcPr>
            <w:tcW w:w="992" w:type="dxa"/>
            <w:tcBorders>
              <w:top w:val="nil"/>
              <w:left w:val="nil"/>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14</w:t>
            </w:r>
          </w:p>
        </w:tc>
        <w:tc>
          <w:tcPr>
            <w:tcW w:w="992" w:type="dxa"/>
            <w:tcBorders>
              <w:top w:val="nil"/>
              <w:left w:val="nil"/>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2842.9%</w:t>
            </w:r>
          </w:p>
        </w:tc>
        <w:tc>
          <w:tcPr>
            <w:tcW w:w="1134" w:type="dxa"/>
            <w:tcBorders>
              <w:top w:val="nil"/>
              <w:left w:val="nil"/>
              <w:bottom w:val="single" w:sz="4" w:space="0" w:color="auto"/>
              <w:right w:val="single" w:sz="4" w:space="0" w:color="auto"/>
            </w:tcBorders>
            <w:shd w:val="clear" w:color="000000" w:fill="FFFFFF"/>
            <w:vAlign w:val="bottom"/>
          </w:tcPr>
          <w:p w:rsidR="00033838" w:rsidRPr="00685C28" w:rsidRDefault="00573A84" w:rsidP="00033838">
            <w:pPr>
              <w:jc w:val="right"/>
              <w:rPr>
                <w:rFonts w:ascii="Arial" w:hAnsi="Arial" w:cs="Arial"/>
                <w:sz w:val="20"/>
                <w:szCs w:val="20"/>
              </w:rPr>
            </w:pPr>
            <w:r w:rsidRPr="00685C28">
              <w:rPr>
                <w:rFonts w:ascii="Arial" w:hAnsi="Arial" w:cs="Arial"/>
                <w:sz w:val="20"/>
                <w:szCs w:val="20"/>
              </w:rPr>
              <w:t>40</w:t>
            </w:r>
          </w:p>
        </w:tc>
        <w:tc>
          <w:tcPr>
            <w:tcW w:w="992" w:type="dxa"/>
            <w:tcBorders>
              <w:top w:val="nil"/>
              <w:left w:val="single" w:sz="4" w:space="0" w:color="auto"/>
              <w:bottom w:val="single" w:sz="4" w:space="0" w:color="auto"/>
              <w:right w:val="single" w:sz="4" w:space="0" w:color="auto"/>
            </w:tcBorders>
            <w:shd w:val="clear" w:color="auto" w:fill="auto"/>
            <w:vAlign w:val="bottom"/>
          </w:tcPr>
          <w:p w:rsidR="00033838" w:rsidRPr="00685C28" w:rsidRDefault="00694912" w:rsidP="00033838">
            <w:pPr>
              <w:jc w:val="right"/>
              <w:rPr>
                <w:rFonts w:ascii="Arial" w:hAnsi="Arial" w:cs="Arial"/>
                <w:sz w:val="20"/>
                <w:szCs w:val="20"/>
              </w:rPr>
            </w:pPr>
            <w:r w:rsidRPr="00685C28">
              <w:rPr>
                <w:rFonts w:ascii="Arial" w:hAnsi="Arial" w:cs="Arial"/>
                <w:sz w:val="20"/>
                <w:szCs w:val="20"/>
              </w:rPr>
              <w:t>930,0</w:t>
            </w:r>
            <w:r w:rsidR="00033838" w:rsidRPr="00685C28">
              <w:rPr>
                <w:rFonts w:ascii="Arial" w:hAnsi="Arial" w:cs="Arial"/>
                <w:sz w:val="20"/>
                <w:szCs w:val="20"/>
              </w:rPr>
              <w:t>%</w:t>
            </w:r>
          </w:p>
        </w:tc>
      </w:tr>
      <w:tr w:rsidR="00033838" w:rsidRPr="00685C28" w:rsidTr="00033838">
        <w:trPr>
          <w:trHeight w:val="256"/>
        </w:trPr>
        <w:tc>
          <w:tcPr>
            <w:tcW w:w="4515" w:type="dxa"/>
            <w:tcBorders>
              <w:top w:val="single" w:sz="4" w:space="0" w:color="auto"/>
              <w:left w:val="single" w:sz="4" w:space="0" w:color="auto"/>
              <w:bottom w:val="single" w:sz="4" w:space="0" w:color="auto"/>
              <w:right w:val="single" w:sz="4" w:space="0" w:color="auto"/>
            </w:tcBorders>
            <w:vAlign w:val="bottom"/>
          </w:tcPr>
          <w:p w:rsidR="00033838" w:rsidRPr="00685C28" w:rsidRDefault="00033838" w:rsidP="00033838">
            <w:pPr>
              <w:spacing w:beforeLines="40" w:before="96"/>
              <w:rPr>
                <w:rFonts w:ascii="Arial" w:hAnsi="Arial" w:cs="Arial"/>
                <w:sz w:val="20"/>
                <w:szCs w:val="20"/>
              </w:rPr>
            </w:pPr>
            <w:r w:rsidRPr="00685C28">
              <w:rPr>
                <w:rFonts w:ascii="Arial" w:hAnsi="Arial" w:cs="Arial"/>
                <w:sz w:val="20"/>
                <w:szCs w:val="20"/>
              </w:rPr>
              <w:t>Разходи за материали и външни услуги</w:t>
            </w:r>
          </w:p>
        </w:tc>
        <w:tc>
          <w:tcPr>
            <w:tcW w:w="954" w:type="dxa"/>
            <w:tcBorders>
              <w:top w:val="nil"/>
              <w:left w:val="single" w:sz="4" w:space="0" w:color="auto"/>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1 584</w:t>
            </w:r>
          </w:p>
        </w:tc>
        <w:tc>
          <w:tcPr>
            <w:tcW w:w="992" w:type="dxa"/>
            <w:tcBorders>
              <w:top w:val="nil"/>
              <w:left w:val="nil"/>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1 486</w:t>
            </w:r>
          </w:p>
        </w:tc>
        <w:tc>
          <w:tcPr>
            <w:tcW w:w="992" w:type="dxa"/>
            <w:tcBorders>
              <w:top w:val="nil"/>
              <w:left w:val="nil"/>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6.6%</w:t>
            </w:r>
          </w:p>
        </w:tc>
        <w:tc>
          <w:tcPr>
            <w:tcW w:w="1134" w:type="dxa"/>
            <w:tcBorders>
              <w:top w:val="nil"/>
              <w:left w:val="nil"/>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 xml:space="preserve">1 </w:t>
            </w:r>
            <w:r w:rsidR="00573A84" w:rsidRPr="00685C28">
              <w:rPr>
                <w:rFonts w:ascii="Arial" w:hAnsi="Arial" w:cs="Arial"/>
                <w:sz w:val="20"/>
                <w:szCs w:val="20"/>
              </w:rPr>
              <w:t>447</w:t>
            </w:r>
          </w:p>
        </w:tc>
        <w:tc>
          <w:tcPr>
            <w:tcW w:w="992" w:type="dxa"/>
            <w:tcBorders>
              <w:top w:val="nil"/>
              <w:left w:val="single" w:sz="4" w:space="0" w:color="auto"/>
              <w:bottom w:val="single" w:sz="4" w:space="0" w:color="auto"/>
              <w:right w:val="single" w:sz="4" w:space="0" w:color="auto"/>
            </w:tcBorders>
            <w:shd w:val="clear" w:color="auto" w:fill="auto"/>
            <w:vAlign w:val="bottom"/>
          </w:tcPr>
          <w:p w:rsidR="00033838" w:rsidRPr="00685C28" w:rsidRDefault="00694912" w:rsidP="00033838">
            <w:pPr>
              <w:jc w:val="right"/>
              <w:rPr>
                <w:rFonts w:ascii="Arial" w:hAnsi="Arial" w:cs="Arial"/>
                <w:sz w:val="20"/>
                <w:szCs w:val="20"/>
              </w:rPr>
            </w:pPr>
            <w:r w:rsidRPr="00685C28">
              <w:rPr>
                <w:rFonts w:ascii="Arial" w:hAnsi="Arial" w:cs="Arial"/>
                <w:sz w:val="20"/>
                <w:szCs w:val="20"/>
              </w:rPr>
              <w:t>9,5</w:t>
            </w:r>
            <w:r w:rsidR="00033838" w:rsidRPr="00685C28">
              <w:rPr>
                <w:rFonts w:ascii="Arial" w:hAnsi="Arial" w:cs="Arial"/>
                <w:sz w:val="20"/>
                <w:szCs w:val="20"/>
              </w:rPr>
              <w:t>%</w:t>
            </w:r>
          </w:p>
        </w:tc>
      </w:tr>
      <w:tr w:rsidR="00033838" w:rsidRPr="00685C28" w:rsidTr="00033838">
        <w:trPr>
          <w:trHeight w:val="256"/>
        </w:trPr>
        <w:tc>
          <w:tcPr>
            <w:tcW w:w="4515" w:type="dxa"/>
            <w:tcBorders>
              <w:top w:val="single" w:sz="4" w:space="0" w:color="auto"/>
              <w:left w:val="single" w:sz="4" w:space="0" w:color="auto"/>
              <w:bottom w:val="single" w:sz="4" w:space="0" w:color="auto"/>
              <w:right w:val="single" w:sz="4" w:space="0" w:color="auto"/>
            </w:tcBorders>
            <w:vAlign w:val="bottom"/>
          </w:tcPr>
          <w:p w:rsidR="00033838" w:rsidRPr="00685C28" w:rsidRDefault="00033838" w:rsidP="00033838">
            <w:pPr>
              <w:spacing w:beforeLines="40" w:before="96"/>
              <w:rPr>
                <w:rFonts w:ascii="Arial" w:hAnsi="Arial" w:cs="Arial"/>
                <w:sz w:val="20"/>
                <w:szCs w:val="20"/>
              </w:rPr>
            </w:pPr>
            <w:r w:rsidRPr="00685C28">
              <w:rPr>
                <w:rFonts w:ascii="Arial" w:hAnsi="Arial" w:cs="Arial"/>
                <w:sz w:val="20"/>
                <w:szCs w:val="20"/>
              </w:rPr>
              <w:t>Разходи за възнаграждения и соц.осигуровки</w:t>
            </w:r>
          </w:p>
        </w:tc>
        <w:tc>
          <w:tcPr>
            <w:tcW w:w="954" w:type="dxa"/>
            <w:tcBorders>
              <w:top w:val="nil"/>
              <w:left w:val="single" w:sz="4" w:space="0" w:color="auto"/>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2 832</w:t>
            </w:r>
          </w:p>
        </w:tc>
        <w:tc>
          <w:tcPr>
            <w:tcW w:w="992" w:type="dxa"/>
            <w:tcBorders>
              <w:top w:val="nil"/>
              <w:left w:val="nil"/>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2 717</w:t>
            </w:r>
          </w:p>
        </w:tc>
        <w:tc>
          <w:tcPr>
            <w:tcW w:w="992" w:type="dxa"/>
            <w:tcBorders>
              <w:top w:val="nil"/>
              <w:left w:val="nil"/>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4.2%</w:t>
            </w:r>
          </w:p>
        </w:tc>
        <w:tc>
          <w:tcPr>
            <w:tcW w:w="1134" w:type="dxa"/>
            <w:tcBorders>
              <w:top w:val="nil"/>
              <w:left w:val="nil"/>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2 70</w:t>
            </w:r>
            <w:r w:rsidR="00573A84" w:rsidRPr="00685C28">
              <w:rPr>
                <w:rFonts w:ascii="Arial" w:hAnsi="Arial" w:cs="Arial"/>
                <w:sz w:val="20"/>
                <w:szCs w:val="20"/>
              </w:rPr>
              <w:t>2</w:t>
            </w:r>
          </w:p>
        </w:tc>
        <w:tc>
          <w:tcPr>
            <w:tcW w:w="992" w:type="dxa"/>
            <w:tcBorders>
              <w:top w:val="nil"/>
              <w:left w:val="single" w:sz="4" w:space="0" w:color="auto"/>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4.</w:t>
            </w:r>
            <w:r w:rsidR="00694912" w:rsidRPr="00685C28">
              <w:rPr>
                <w:rFonts w:ascii="Arial" w:hAnsi="Arial" w:cs="Arial"/>
                <w:sz w:val="20"/>
                <w:szCs w:val="20"/>
              </w:rPr>
              <w:t>8</w:t>
            </w:r>
            <w:r w:rsidRPr="00685C28">
              <w:rPr>
                <w:rFonts w:ascii="Arial" w:hAnsi="Arial" w:cs="Arial"/>
                <w:sz w:val="20"/>
                <w:szCs w:val="20"/>
              </w:rPr>
              <w:t>%</w:t>
            </w:r>
          </w:p>
        </w:tc>
      </w:tr>
      <w:tr w:rsidR="00033838" w:rsidRPr="00685C28" w:rsidTr="00033838">
        <w:trPr>
          <w:trHeight w:val="256"/>
        </w:trPr>
        <w:tc>
          <w:tcPr>
            <w:tcW w:w="4515" w:type="dxa"/>
            <w:tcBorders>
              <w:top w:val="single" w:sz="4" w:space="0" w:color="auto"/>
              <w:left w:val="single" w:sz="4" w:space="0" w:color="auto"/>
              <w:bottom w:val="single" w:sz="4" w:space="0" w:color="auto"/>
              <w:right w:val="single" w:sz="4" w:space="0" w:color="auto"/>
            </w:tcBorders>
            <w:vAlign w:val="bottom"/>
          </w:tcPr>
          <w:p w:rsidR="00033838" w:rsidRPr="00685C28" w:rsidRDefault="00033838" w:rsidP="00033838">
            <w:pPr>
              <w:spacing w:beforeLines="40" w:before="96"/>
              <w:rPr>
                <w:rFonts w:ascii="Arial" w:hAnsi="Arial" w:cs="Arial"/>
                <w:sz w:val="20"/>
                <w:szCs w:val="20"/>
              </w:rPr>
            </w:pPr>
            <w:r w:rsidRPr="00685C28">
              <w:rPr>
                <w:rFonts w:ascii="Arial" w:hAnsi="Arial" w:cs="Arial"/>
                <w:sz w:val="20"/>
                <w:szCs w:val="20"/>
              </w:rPr>
              <w:t>Други разходи</w:t>
            </w:r>
          </w:p>
        </w:tc>
        <w:tc>
          <w:tcPr>
            <w:tcW w:w="954" w:type="dxa"/>
            <w:tcBorders>
              <w:top w:val="nil"/>
              <w:left w:val="single" w:sz="4" w:space="0" w:color="auto"/>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295</w:t>
            </w:r>
          </w:p>
        </w:tc>
        <w:tc>
          <w:tcPr>
            <w:tcW w:w="992" w:type="dxa"/>
            <w:tcBorders>
              <w:top w:val="nil"/>
              <w:left w:val="nil"/>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96</w:t>
            </w:r>
          </w:p>
        </w:tc>
        <w:tc>
          <w:tcPr>
            <w:tcW w:w="992" w:type="dxa"/>
            <w:tcBorders>
              <w:top w:val="nil"/>
              <w:left w:val="nil"/>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207.3%</w:t>
            </w:r>
          </w:p>
        </w:tc>
        <w:tc>
          <w:tcPr>
            <w:tcW w:w="1134" w:type="dxa"/>
            <w:tcBorders>
              <w:top w:val="nil"/>
              <w:left w:val="nil"/>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141</w:t>
            </w:r>
          </w:p>
        </w:tc>
        <w:tc>
          <w:tcPr>
            <w:tcW w:w="992" w:type="dxa"/>
            <w:tcBorders>
              <w:top w:val="nil"/>
              <w:left w:val="single" w:sz="4" w:space="0" w:color="auto"/>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109.2%</w:t>
            </w:r>
          </w:p>
        </w:tc>
      </w:tr>
      <w:tr w:rsidR="00033838" w:rsidRPr="00685C28" w:rsidTr="00033838">
        <w:trPr>
          <w:trHeight w:val="256"/>
        </w:trPr>
        <w:tc>
          <w:tcPr>
            <w:tcW w:w="4515" w:type="dxa"/>
            <w:tcBorders>
              <w:top w:val="single" w:sz="4" w:space="0" w:color="auto"/>
              <w:left w:val="single" w:sz="4" w:space="0" w:color="auto"/>
              <w:bottom w:val="single" w:sz="4" w:space="0" w:color="auto"/>
              <w:right w:val="single" w:sz="4" w:space="0" w:color="auto"/>
            </w:tcBorders>
            <w:vAlign w:val="bottom"/>
          </w:tcPr>
          <w:p w:rsidR="00033838" w:rsidRPr="00685C28" w:rsidRDefault="00033838" w:rsidP="00033838">
            <w:pPr>
              <w:spacing w:beforeLines="40" w:before="96"/>
              <w:rPr>
                <w:rFonts w:ascii="Arial" w:hAnsi="Arial" w:cs="Arial"/>
                <w:sz w:val="20"/>
                <w:szCs w:val="20"/>
              </w:rPr>
            </w:pPr>
            <w:r w:rsidRPr="00685C28">
              <w:rPr>
                <w:rFonts w:ascii="Arial" w:hAnsi="Arial" w:cs="Arial"/>
                <w:sz w:val="20"/>
                <w:szCs w:val="20"/>
              </w:rPr>
              <w:t>Суми с корективен характер</w:t>
            </w:r>
          </w:p>
        </w:tc>
        <w:tc>
          <w:tcPr>
            <w:tcW w:w="954" w:type="dxa"/>
            <w:tcBorders>
              <w:top w:val="nil"/>
              <w:left w:val="single" w:sz="4" w:space="0" w:color="auto"/>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0</w:t>
            </w:r>
          </w:p>
        </w:tc>
        <w:tc>
          <w:tcPr>
            <w:tcW w:w="992" w:type="dxa"/>
            <w:tcBorders>
              <w:top w:val="nil"/>
              <w:left w:val="nil"/>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0</w:t>
            </w:r>
          </w:p>
        </w:tc>
        <w:tc>
          <w:tcPr>
            <w:tcW w:w="992" w:type="dxa"/>
            <w:tcBorders>
              <w:top w:val="nil"/>
              <w:left w:val="nil"/>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w:t>
            </w:r>
          </w:p>
        </w:tc>
        <w:tc>
          <w:tcPr>
            <w:tcW w:w="1134" w:type="dxa"/>
            <w:tcBorders>
              <w:top w:val="nil"/>
              <w:left w:val="nil"/>
              <w:bottom w:val="single" w:sz="4" w:space="0" w:color="auto"/>
              <w:right w:val="single" w:sz="4" w:space="0" w:color="auto"/>
            </w:tcBorders>
            <w:shd w:val="clear" w:color="000000" w:fill="FFFFFF"/>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0</w:t>
            </w:r>
          </w:p>
        </w:tc>
        <w:tc>
          <w:tcPr>
            <w:tcW w:w="992" w:type="dxa"/>
            <w:tcBorders>
              <w:top w:val="nil"/>
              <w:left w:val="single" w:sz="4" w:space="0" w:color="auto"/>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w:t>
            </w:r>
          </w:p>
        </w:tc>
      </w:tr>
      <w:tr w:rsidR="00033838" w:rsidRPr="00685C28" w:rsidTr="00033838">
        <w:trPr>
          <w:trHeight w:val="390"/>
        </w:trPr>
        <w:tc>
          <w:tcPr>
            <w:tcW w:w="4515" w:type="dxa"/>
            <w:tcBorders>
              <w:top w:val="single" w:sz="4" w:space="0" w:color="auto"/>
              <w:left w:val="single" w:sz="4" w:space="0" w:color="auto"/>
              <w:bottom w:val="single" w:sz="4" w:space="0" w:color="auto"/>
              <w:right w:val="single" w:sz="4" w:space="0" w:color="auto"/>
            </w:tcBorders>
            <w:vAlign w:val="bottom"/>
          </w:tcPr>
          <w:p w:rsidR="00033838" w:rsidRPr="00685C28" w:rsidRDefault="00033838" w:rsidP="00033838">
            <w:pPr>
              <w:spacing w:beforeLines="40" w:before="96"/>
              <w:rPr>
                <w:rFonts w:ascii="Arial" w:hAnsi="Arial" w:cs="Arial"/>
                <w:b/>
                <w:sz w:val="20"/>
                <w:szCs w:val="20"/>
                <w:lang w:val="ru-RU"/>
              </w:rPr>
            </w:pPr>
            <w:r w:rsidRPr="00685C28">
              <w:rPr>
                <w:rFonts w:ascii="Arial" w:hAnsi="Arial" w:cs="Arial"/>
                <w:b/>
                <w:sz w:val="20"/>
                <w:szCs w:val="20"/>
              </w:rPr>
              <w:t xml:space="preserve">Печалба преди лихви, данъци  и амортизации </w:t>
            </w:r>
          </w:p>
        </w:tc>
        <w:tc>
          <w:tcPr>
            <w:tcW w:w="954" w:type="dxa"/>
            <w:tcBorders>
              <w:top w:val="single" w:sz="4" w:space="0" w:color="auto"/>
              <w:left w:val="single" w:sz="4" w:space="0" w:color="auto"/>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b/>
                <w:bCs/>
                <w:sz w:val="20"/>
                <w:szCs w:val="20"/>
                <w:lang w:eastAsia="bg-BG"/>
              </w:rPr>
            </w:pPr>
            <w:r w:rsidRPr="00685C28">
              <w:rPr>
                <w:rFonts w:ascii="Arial" w:hAnsi="Arial" w:cs="Arial"/>
                <w:b/>
                <w:bCs/>
                <w:sz w:val="20"/>
                <w:szCs w:val="20"/>
              </w:rPr>
              <w:t>937</w:t>
            </w:r>
          </w:p>
        </w:tc>
        <w:tc>
          <w:tcPr>
            <w:tcW w:w="992" w:type="dxa"/>
            <w:tcBorders>
              <w:top w:val="single" w:sz="4" w:space="0" w:color="auto"/>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b/>
                <w:bCs/>
                <w:sz w:val="20"/>
                <w:szCs w:val="20"/>
              </w:rPr>
            </w:pPr>
            <w:r w:rsidRPr="00685C28">
              <w:rPr>
                <w:rFonts w:ascii="Arial" w:hAnsi="Arial" w:cs="Arial"/>
                <w:b/>
                <w:bCs/>
                <w:sz w:val="20"/>
                <w:szCs w:val="20"/>
              </w:rPr>
              <w:t>978</w:t>
            </w:r>
          </w:p>
        </w:tc>
        <w:tc>
          <w:tcPr>
            <w:tcW w:w="992" w:type="dxa"/>
            <w:tcBorders>
              <w:top w:val="single" w:sz="4" w:space="0" w:color="auto"/>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-4.2%</w:t>
            </w:r>
          </w:p>
        </w:tc>
        <w:tc>
          <w:tcPr>
            <w:tcW w:w="1134" w:type="dxa"/>
            <w:tcBorders>
              <w:top w:val="single" w:sz="4" w:space="0" w:color="auto"/>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b/>
                <w:bCs/>
                <w:sz w:val="20"/>
                <w:szCs w:val="20"/>
              </w:rPr>
            </w:pPr>
            <w:r w:rsidRPr="00685C28">
              <w:rPr>
                <w:rFonts w:ascii="Arial" w:hAnsi="Arial" w:cs="Arial"/>
                <w:b/>
                <w:bCs/>
                <w:sz w:val="20"/>
                <w:szCs w:val="20"/>
              </w:rPr>
              <w:t>1 0</w:t>
            </w:r>
            <w:r w:rsidR="00573A84" w:rsidRPr="00685C28">
              <w:rPr>
                <w:rFonts w:ascii="Arial" w:hAnsi="Arial" w:cs="Arial"/>
                <w:b/>
                <w:bCs/>
                <w:sz w:val="20"/>
                <w:szCs w:val="20"/>
              </w:rPr>
              <w:t>03</w:t>
            </w:r>
          </w:p>
        </w:tc>
        <w:tc>
          <w:tcPr>
            <w:tcW w:w="992" w:type="dxa"/>
            <w:tcBorders>
              <w:top w:val="single" w:sz="4" w:space="0" w:color="auto"/>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b/>
                <w:bCs/>
                <w:sz w:val="20"/>
                <w:szCs w:val="20"/>
              </w:rPr>
            </w:pPr>
            <w:r w:rsidRPr="00685C28">
              <w:rPr>
                <w:rFonts w:ascii="Arial" w:hAnsi="Arial" w:cs="Arial"/>
                <w:b/>
                <w:bCs/>
                <w:sz w:val="20"/>
                <w:szCs w:val="20"/>
              </w:rPr>
              <w:t>-</w:t>
            </w:r>
            <w:r w:rsidR="00B2360E" w:rsidRPr="00685C28">
              <w:rPr>
                <w:rFonts w:ascii="Arial" w:hAnsi="Arial" w:cs="Arial"/>
                <w:b/>
                <w:bCs/>
                <w:sz w:val="20"/>
                <w:szCs w:val="20"/>
              </w:rPr>
              <w:t>6,6</w:t>
            </w:r>
            <w:r w:rsidRPr="00685C28">
              <w:rPr>
                <w:rFonts w:ascii="Arial" w:hAnsi="Arial" w:cs="Arial"/>
                <w:b/>
                <w:bCs/>
                <w:sz w:val="20"/>
                <w:szCs w:val="20"/>
              </w:rPr>
              <w:t>%</w:t>
            </w:r>
          </w:p>
        </w:tc>
      </w:tr>
      <w:tr w:rsidR="00033838" w:rsidRPr="00685C28" w:rsidTr="00033838">
        <w:trPr>
          <w:trHeight w:val="256"/>
        </w:trPr>
        <w:tc>
          <w:tcPr>
            <w:tcW w:w="4515" w:type="dxa"/>
            <w:tcBorders>
              <w:top w:val="single" w:sz="4" w:space="0" w:color="auto"/>
              <w:left w:val="single" w:sz="4" w:space="0" w:color="auto"/>
              <w:bottom w:val="single" w:sz="4" w:space="0" w:color="auto"/>
              <w:right w:val="single" w:sz="4" w:space="0" w:color="auto"/>
            </w:tcBorders>
            <w:vAlign w:val="bottom"/>
          </w:tcPr>
          <w:p w:rsidR="00033838" w:rsidRPr="00685C28" w:rsidRDefault="00033838" w:rsidP="00033838">
            <w:pPr>
              <w:spacing w:beforeLines="40" w:before="96"/>
              <w:rPr>
                <w:rFonts w:ascii="Arial" w:hAnsi="Arial" w:cs="Arial"/>
                <w:sz w:val="20"/>
                <w:szCs w:val="20"/>
              </w:rPr>
            </w:pPr>
            <w:r w:rsidRPr="00685C28">
              <w:rPr>
                <w:rFonts w:ascii="Arial" w:hAnsi="Arial" w:cs="Arial"/>
                <w:sz w:val="20"/>
                <w:szCs w:val="20"/>
              </w:rPr>
              <w:t>Разходи за амортизации</w:t>
            </w:r>
          </w:p>
        </w:tc>
        <w:tc>
          <w:tcPr>
            <w:tcW w:w="954"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381</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431</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-11.6%</w:t>
            </w:r>
          </w:p>
        </w:tc>
        <w:tc>
          <w:tcPr>
            <w:tcW w:w="1134"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393</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-3.1%</w:t>
            </w:r>
          </w:p>
        </w:tc>
      </w:tr>
      <w:tr w:rsidR="00033838" w:rsidRPr="00685C28" w:rsidTr="00033838">
        <w:trPr>
          <w:trHeight w:val="256"/>
        </w:trPr>
        <w:tc>
          <w:tcPr>
            <w:tcW w:w="4515" w:type="dxa"/>
            <w:tcBorders>
              <w:top w:val="single" w:sz="4" w:space="0" w:color="auto"/>
              <w:left w:val="single" w:sz="4" w:space="0" w:color="auto"/>
              <w:bottom w:val="single" w:sz="4" w:space="0" w:color="auto"/>
              <w:right w:val="single" w:sz="4" w:space="0" w:color="auto"/>
            </w:tcBorders>
            <w:vAlign w:val="bottom"/>
          </w:tcPr>
          <w:p w:rsidR="00033838" w:rsidRPr="00685C28" w:rsidRDefault="00033838" w:rsidP="00033838">
            <w:pPr>
              <w:spacing w:beforeLines="40" w:before="96"/>
              <w:rPr>
                <w:rFonts w:ascii="Arial" w:hAnsi="Arial" w:cs="Arial"/>
                <w:b/>
                <w:sz w:val="20"/>
                <w:szCs w:val="20"/>
              </w:rPr>
            </w:pPr>
            <w:r w:rsidRPr="00685C28">
              <w:rPr>
                <w:rFonts w:ascii="Arial" w:hAnsi="Arial" w:cs="Arial"/>
                <w:b/>
                <w:sz w:val="20"/>
                <w:szCs w:val="20"/>
              </w:rPr>
              <w:t xml:space="preserve">Печалба преди лихви, данъци и финансирания </w:t>
            </w:r>
          </w:p>
        </w:tc>
        <w:tc>
          <w:tcPr>
            <w:tcW w:w="954"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b/>
                <w:bCs/>
                <w:sz w:val="20"/>
                <w:szCs w:val="20"/>
              </w:rPr>
            </w:pPr>
            <w:r w:rsidRPr="00685C28">
              <w:rPr>
                <w:rFonts w:ascii="Arial" w:hAnsi="Arial" w:cs="Arial"/>
                <w:b/>
                <w:bCs/>
                <w:sz w:val="20"/>
                <w:szCs w:val="20"/>
              </w:rPr>
              <w:t>556</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b/>
                <w:bCs/>
                <w:sz w:val="20"/>
                <w:szCs w:val="20"/>
              </w:rPr>
            </w:pPr>
            <w:r w:rsidRPr="00685C28">
              <w:rPr>
                <w:rFonts w:ascii="Arial" w:hAnsi="Arial" w:cs="Arial"/>
                <w:b/>
                <w:bCs/>
                <w:sz w:val="20"/>
                <w:szCs w:val="20"/>
              </w:rPr>
              <w:t>547</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b/>
                <w:bCs/>
                <w:sz w:val="20"/>
                <w:szCs w:val="20"/>
              </w:rPr>
            </w:pPr>
            <w:r w:rsidRPr="00685C28">
              <w:rPr>
                <w:rFonts w:ascii="Arial" w:hAnsi="Arial" w:cs="Arial"/>
                <w:b/>
                <w:bCs/>
                <w:sz w:val="20"/>
                <w:szCs w:val="20"/>
              </w:rPr>
              <w:t>1.6%</w:t>
            </w:r>
          </w:p>
        </w:tc>
        <w:tc>
          <w:tcPr>
            <w:tcW w:w="1134" w:type="dxa"/>
            <w:tcBorders>
              <w:top w:val="nil"/>
              <w:left w:val="nil"/>
              <w:bottom w:val="single" w:sz="4" w:space="0" w:color="auto"/>
              <w:right w:val="single" w:sz="4" w:space="0" w:color="auto"/>
            </w:tcBorders>
            <w:shd w:val="clear" w:color="auto" w:fill="auto"/>
            <w:vAlign w:val="bottom"/>
          </w:tcPr>
          <w:p w:rsidR="00033838" w:rsidRPr="00685C28" w:rsidRDefault="00573A84" w:rsidP="00033838">
            <w:pPr>
              <w:jc w:val="right"/>
              <w:rPr>
                <w:rFonts w:ascii="Arial" w:hAnsi="Arial" w:cs="Arial"/>
                <w:b/>
                <w:bCs/>
                <w:sz w:val="20"/>
                <w:szCs w:val="20"/>
              </w:rPr>
            </w:pPr>
            <w:r w:rsidRPr="00685C28">
              <w:rPr>
                <w:rFonts w:ascii="Arial" w:hAnsi="Arial" w:cs="Arial"/>
                <w:b/>
                <w:bCs/>
                <w:sz w:val="20"/>
                <w:szCs w:val="20"/>
              </w:rPr>
              <w:t>610</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b/>
                <w:bCs/>
                <w:sz w:val="20"/>
                <w:szCs w:val="20"/>
              </w:rPr>
            </w:pPr>
            <w:r w:rsidRPr="00685C28">
              <w:rPr>
                <w:rFonts w:ascii="Arial" w:hAnsi="Arial" w:cs="Arial"/>
                <w:b/>
                <w:bCs/>
                <w:sz w:val="20"/>
                <w:szCs w:val="20"/>
              </w:rPr>
              <w:t>-</w:t>
            </w:r>
            <w:r w:rsidR="00B2360E" w:rsidRPr="00685C28">
              <w:rPr>
                <w:rFonts w:ascii="Arial" w:hAnsi="Arial" w:cs="Arial"/>
                <w:b/>
                <w:bCs/>
                <w:sz w:val="20"/>
                <w:szCs w:val="20"/>
              </w:rPr>
              <w:t>8,9</w:t>
            </w:r>
            <w:r w:rsidRPr="00685C28">
              <w:rPr>
                <w:rFonts w:ascii="Arial" w:hAnsi="Arial" w:cs="Arial"/>
                <w:b/>
                <w:bCs/>
                <w:sz w:val="20"/>
                <w:szCs w:val="20"/>
              </w:rPr>
              <w:t>%</w:t>
            </w:r>
          </w:p>
        </w:tc>
      </w:tr>
      <w:tr w:rsidR="00033838" w:rsidRPr="00685C28" w:rsidTr="00033838">
        <w:trPr>
          <w:trHeight w:val="256"/>
        </w:trPr>
        <w:tc>
          <w:tcPr>
            <w:tcW w:w="4515" w:type="dxa"/>
            <w:tcBorders>
              <w:top w:val="single" w:sz="4" w:space="0" w:color="auto"/>
              <w:left w:val="single" w:sz="4" w:space="0" w:color="auto"/>
              <w:bottom w:val="single" w:sz="4" w:space="0" w:color="auto"/>
              <w:right w:val="single" w:sz="4" w:space="0" w:color="auto"/>
            </w:tcBorders>
            <w:vAlign w:val="bottom"/>
          </w:tcPr>
          <w:p w:rsidR="00033838" w:rsidRPr="00685C28" w:rsidRDefault="00033838" w:rsidP="00033838">
            <w:pPr>
              <w:spacing w:beforeLines="40" w:before="96"/>
              <w:rPr>
                <w:rFonts w:ascii="Arial" w:hAnsi="Arial" w:cs="Arial"/>
                <w:sz w:val="20"/>
                <w:szCs w:val="20"/>
              </w:rPr>
            </w:pPr>
            <w:r w:rsidRPr="00685C28">
              <w:rPr>
                <w:rFonts w:ascii="Arial" w:hAnsi="Arial" w:cs="Arial"/>
                <w:sz w:val="20"/>
                <w:szCs w:val="20"/>
              </w:rPr>
              <w:t>Финансирания</w:t>
            </w:r>
          </w:p>
        </w:tc>
        <w:tc>
          <w:tcPr>
            <w:tcW w:w="954"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w:t>
            </w:r>
          </w:p>
        </w:tc>
      </w:tr>
      <w:tr w:rsidR="00033838" w:rsidRPr="00685C28" w:rsidTr="00033838">
        <w:trPr>
          <w:trHeight w:val="256"/>
        </w:trPr>
        <w:tc>
          <w:tcPr>
            <w:tcW w:w="4515" w:type="dxa"/>
            <w:tcBorders>
              <w:top w:val="single" w:sz="4" w:space="0" w:color="auto"/>
              <w:left w:val="single" w:sz="4" w:space="0" w:color="auto"/>
              <w:bottom w:val="single" w:sz="4" w:space="0" w:color="auto"/>
              <w:right w:val="single" w:sz="4" w:space="0" w:color="auto"/>
            </w:tcBorders>
            <w:vAlign w:val="bottom"/>
          </w:tcPr>
          <w:p w:rsidR="00033838" w:rsidRPr="00685C28" w:rsidRDefault="00033838" w:rsidP="00033838">
            <w:pPr>
              <w:spacing w:beforeLines="40" w:before="96"/>
              <w:rPr>
                <w:rFonts w:ascii="Arial" w:hAnsi="Arial" w:cs="Arial"/>
                <w:sz w:val="20"/>
                <w:szCs w:val="20"/>
              </w:rPr>
            </w:pPr>
            <w:r w:rsidRPr="00685C28">
              <w:rPr>
                <w:rFonts w:ascii="Arial" w:hAnsi="Arial" w:cs="Arial"/>
                <w:sz w:val="20"/>
                <w:szCs w:val="20"/>
              </w:rPr>
              <w:t>Нетни финансови приходи (разходи)</w:t>
            </w:r>
          </w:p>
        </w:tc>
        <w:tc>
          <w:tcPr>
            <w:tcW w:w="954"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lang w:eastAsia="bg-BG"/>
              </w:rPr>
            </w:pPr>
            <w:r w:rsidRPr="00685C28">
              <w:rPr>
                <w:rFonts w:ascii="Arial" w:hAnsi="Arial" w:cs="Arial"/>
                <w:sz w:val="20"/>
                <w:szCs w:val="20"/>
              </w:rPr>
              <w:t>6</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3</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100.0%</w:t>
            </w:r>
          </w:p>
        </w:tc>
        <w:tc>
          <w:tcPr>
            <w:tcW w:w="1134" w:type="dxa"/>
            <w:tcBorders>
              <w:top w:val="nil"/>
              <w:left w:val="nil"/>
              <w:bottom w:val="single" w:sz="4" w:space="0" w:color="auto"/>
              <w:right w:val="single" w:sz="4" w:space="0" w:color="auto"/>
            </w:tcBorders>
            <w:shd w:val="clear" w:color="auto" w:fill="auto"/>
            <w:vAlign w:val="bottom"/>
          </w:tcPr>
          <w:p w:rsidR="00033838" w:rsidRPr="00685C28" w:rsidRDefault="00694912" w:rsidP="00033838">
            <w:pPr>
              <w:jc w:val="right"/>
              <w:rPr>
                <w:rFonts w:ascii="Arial" w:hAnsi="Arial" w:cs="Arial"/>
                <w:sz w:val="20"/>
                <w:szCs w:val="20"/>
              </w:rPr>
            </w:pPr>
            <w:r w:rsidRPr="00685C28">
              <w:rPr>
                <w:rFonts w:ascii="Arial" w:hAnsi="Arial" w:cs="Arial"/>
                <w:sz w:val="20"/>
                <w:szCs w:val="20"/>
              </w:rPr>
              <w:t>8</w:t>
            </w:r>
          </w:p>
        </w:tc>
        <w:tc>
          <w:tcPr>
            <w:tcW w:w="992" w:type="dxa"/>
            <w:tcBorders>
              <w:top w:val="nil"/>
              <w:left w:val="nil"/>
              <w:bottom w:val="single" w:sz="4" w:space="0" w:color="auto"/>
              <w:right w:val="single" w:sz="8"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w:t>
            </w:r>
            <w:r w:rsidR="00694912" w:rsidRPr="00685C28">
              <w:rPr>
                <w:rFonts w:ascii="Arial" w:hAnsi="Arial" w:cs="Arial"/>
                <w:sz w:val="20"/>
                <w:szCs w:val="20"/>
              </w:rPr>
              <w:t>25</w:t>
            </w:r>
            <w:r w:rsidRPr="00685C28">
              <w:rPr>
                <w:rFonts w:ascii="Arial" w:hAnsi="Arial" w:cs="Arial"/>
                <w:sz w:val="20"/>
                <w:szCs w:val="20"/>
              </w:rPr>
              <w:t>%</w:t>
            </w:r>
          </w:p>
        </w:tc>
      </w:tr>
      <w:tr w:rsidR="00033838" w:rsidRPr="00685C28" w:rsidTr="00033838">
        <w:trPr>
          <w:trHeight w:val="256"/>
        </w:trPr>
        <w:tc>
          <w:tcPr>
            <w:tcW w:w="4515" w:type="dxa"/>
            <w:tcBorders>
              <w:top w:val="single" w:sz="4" w:space="0" w:color="auto"/>
              <w:left w:val="single" w:sz="4" w:space="0" w:color="auto"/>
              <w:bottom w:val="single" w:sz="4" w:space="0" w:color="auto"/>
              <w:right w:val="single" w:sz="4" w:space="0" w:color="auto"/>
            </w:tcBorders>
            <w:vAlign w:val="bottom"/>
          </w:tcPr>
          <w:p w:rsidR="00033838" w:rsidRPr="00685C28" w:rsidRDefault="00033838" w:rsidP="00033838">
            <w:pPr>
              <w:spacing w:beforeLines="40" w:before="96"/>
              <w:rPr>
                <w:rFonts w:ascii="Arial" w:hAnsi="Arial" w:cs="Arial"/>
                <w:b/>
                <w:sz w:val="20"/>
                <w:szCs w:val="20"/>
              </w:rPr>
            </w:pPr>
            <w:r w:rsidRPr="00685C28">
              <w:rPr>
                <w:rFonts w:ascii="Arial" w:hAnsi="Arial" w:cs="Arial"/>
                <w:b/>
                <w:sz w:val="20"/>
                <w:szCs w:val="20"/>
              </w:rPr>
              <w:t>Печалба преди извънредни приходи (разходи)</w:t>
            </w:r>
          </w:p>
        </w:tc>
        <w:tc>
          <w:tcPr>
            <w:tcW w:w="954"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b/>
                <w:bCs/>
                <w:sz w:val="20"/>
                <w:szCs w:val="20"/>
              </w:rPr>
            </w:pPr>
            <w:r w:rsidRPr="00685C28">
              <w:rPr>
                <w:rFonts w:ascii="Arial" w:hAnsi="Arial" w:cs="Arial"/>
                <w:b/>
                <w:bCs/>
                <w:sz w:val="20"/>
                <w:szCs w:val="20"/>
              </w:rPr>
              <w:t>562</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b/>
                <w:bCs/>
                <w:sz w:val="20"/>
                <w:szCs w:val="20"/>
              </w:rPr>
            </w:pPr>
            <w:r w:rsidRPr="00685C28">
              <w:rPr>
                <w:rFonts w:ascii="Arial" w:hAnsi="Arial" w:cs="Arial"/>
                <w:b/>
                <w:bCs/>
                <w:sz w:val="20"/>
                <w:szCs w:val="20"/>
              </w:rPr>
              <w:t>550</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b/>
                <w:bCs/>
                <w:sz w:val="20"/>
                <w:szCs w:val="20"/>
              </w:rPr>
            </w:pPr>
            <w:r w:rsidRPr="00685C28">
              <w:rPr>
                <w:rFonts w:ascii="Arial" w:hAnsi="Arial" w:cs="Arial"/>
                <w:b/>
                <w:bCs/>
                <w:sz w:val="20"/>
                <w:szCs w:val="20"/>
              </w:rPr>
              <w:t>2.2%</w:t>
            </w:r>
          </w:p>
        </w:tc>
        <w:tc>
          <w:tcPr>
            <w:tcW w:w="1134" w:type="dxa"/>
            <w:tcBorders>
              <w:top w:val="nil"/>
              <w:left w:val="nil"/>
              <w:bottom w:val="single" w:sz="4" w:space="0" w:color="auto"/>
              <w:right w:val="single" w:sz="4" w:space="0" w:color="auto"/>
            </w:tcBorders>
            <w:shd w:val="clear" w:color="auto" w:fill="auto"/>
            <w:vAlign w:val="bottom"/>
          </w:tcPr>
          <w:p w:rsidR="00033838" w:rsidRPr="00685C28" w:rsidRDefault="00694912" w:rsidP="00033838">
            <w:pPr>
              <w:jc w:val="right"/>
              <w:rPr>
                <w:rFonts w:ascii="Arial" w:hAnsi="Arial" w:cs="Arial"/>
                <w:b/>
                <w:bCs/>
                <w:sz w:val="20"/>
                <w:szCs w:val="20"/>
              </w:rPr>
            </w:pPr>
            <w:r w:rsidRPr="00685C28">
              <w:rPr>
                <w:rFonts w:ascii="Arial" w:hAnsi="Arial" w:cs="Arial"/>
                <w:b/>
                <w:bCs/>
                <w:sz w:val="20"/>
                <w:szCs w:val="20"/>
              </w:rPr>
              <w:t>618</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b/>
                <w:bCs/>
                <w:sz w:val="20"/>
                <w:szCs w:val="20"/>
              </w:rPr>
            </w:pPr>
            <w:r w:rsidRPr="00685C28">
              <w:rPr>
                <w:rFonts w:ascii="Arial" w:hAnsi="Arial" w:cs="Arial"/>
                <w:b/>
                <w:bCs/>
                <w:sz w:val="20"/>
                <w:szCs w:val="20"/>
              </w:rPr>
              <w:t>-9.</w:t>
            </w:r>
            <w:r w:rsidR="00694912" w:rsidRPr="00685C28">
              <w:rPr>
                <w:rFonts w:ascii="Arial" w:hAnsi="Arial" w:cs="Arial"/>
                <w:b/>
                <w:bCs/>
                <w:sz w:val="20"/>
                <w:szCs w:val="20"/>
              </w:rPr>
              <w:t>1</w:t>
            </w:r>
            <w:r w:rsidRPr="00685C28">
              <w:rPr>
                <w:rFonts w:ascii="Arial" w:hAnsi="Arial" w:cs="Arial"/>
                <w:b/>
                <w:bCs/>
                <w:sz w:val="20"/>
                <w:szCs w:val="20"/>
              </w:rPr>
              <w:t>%</w:t>
            </w:r>
          </w:p>
        </w:tc>
      </w:tr>
      <w:tr w:rsidR="00033838" w:rsidRPr="00685C28" w:rsidTr="00033838">
        <w:trPr>
          <w:trHeight w:val="256"/>
        </w:trPr>
        <w:tc>
          <w:tcPr>
            <w:tcW w:w="4515" w:type="dxa"/>
            <w:tcBorders>
              <w:top w:val="single" w:sz="4" w:space="0" w:color="auto"/>
              <w:left w:val="single" w:sz="4" w:space="0" w:color="auto"/>
              <w:bottom w:val="single" w:sz="4" w:space="0" w:color="auto"/>
              <w:right w:val="single" w:sz="4" w:space="0" w:color="auto"/>
            </w:tcBorders>
            <w:vAlign w:val="bottom"/>
          </w:tcPr>
          <w:p w:rsidR="00033838" w:rsidRPr="00685C28" w:rsidRDefault="00033838" w:rsidP="00033838">
            <w:pPr>
              <w:spacing w:beforeLines="40" w:before="96"/>
              <w:rPr>
                <w:rFonts w:ascii="Arial" w:hAnsi="Arial" w:cs="Arial"/>
                <w:sz w:val="20"/>
                <w:szCs w:val="20"/>
              </w:rPr>
            </w:pPr>
            <w:r w:rsidRPr="00685C28">
              <w:rPr>
                <w:rFonts w:ascii="Arial" w:hAnsi="Arial" w:cs="Arial"/>
                <w:sz w:val="20"/>
                <w:szCs w:val="20"/>
              </w:rPr>
              <w:t>Нетни извънредни приходи (разходи)</w:t>
            </w:r>
          </w:p>
        </w:tc>
        <w:tc>
          <w:tcPr>
            <w:tcW w:w="954"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w:t>
            </w:r>
          </w:p>
        </w:tc>
      </w:tr>
      <w:tr w:rsidR="00033838" w:rsidRPr="00685C28" w:rsidTr="00033838">
        <w:trPr>
          <w:trHeight w:val="256"/>
        </w:trPr>
        <w:tc>
          <w:tcPr>
            <w:tcW w:w="4515" w:type="dxa"/>
            <w:tcBorders>
              <w:top w:val="single" w:sz="4" w:space="0" w:color="auto"/>
              <w:left w:val="single" w:sz="4" w:space="0" w:color="auto"/>
              <w:bottom w:val="single" w:sz="4" w:space="0" w:color="auto"/>
              <w:right w:val="single" w:sz="4" w:space="0" w:color="auto"/>
            </w:tcBorders>
            <w:vAlign w:val="bottom"/>
          </w:tcPr>
          <w:p w:rsidR="00033838" w:rsidRPr="00685C28" w:rsidRDefault="00033838" w:rsidP="00033838">
            <w:pPr>
              <w:spacing w:beforeLines="40" w:before="96"/>
              <w:rPr>
                <w:rFonts w:ascii="Arial" w:hAnsi="Arial" w:cs="Arial"/>
                <w:b/>
                <w:sz w:val="20"/>
                <w:szCs w:val="20"/>
              </w:rPr>
            </w:pPr>
            <w:r w:rsidRPr="00685C28">
              <w:rPr>
                <w:rFonts w:ascii="Arial" w:hAnsi="Arial" w:cs="Arial"/>
                <w:b/>
                <w:sz w:val="20"/>
                <w:szCs w:val="20"/>
              </w:rPr>
              <w:t xml:space="preserve">Печалба преди данъци </w:t>
            </w:r>
          </w:p>
        </w:tc>
        <w:tc>
          <w:tcPr>
            <w:tcW w:w="954"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b/>
                <w:bCs/>
                <w:sz w:val="20"/>
                <w:szCs w:val="20"/>
              </w:rPr>
            </w:pPr>
            <w:r w:rsidRPr="00685C28">
              <w:rPr>
                <w:rFonts w:ascii="Arial" w:hAnsi="Arial" w:cs="Arial"/>
                <w:b/>
                <w:bCs/>
                <w:sz w:val="20"/>
                <w:szCs w:val="20"/>
              </w:rPr>
              <w:t>562</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b/>
                <w:bCs/>
                <w:sz w:val="20"/>
                <w:szCs w:val="20"/>
              </w:rPr>
            </w:pPr>
            <w:r w:rsidRPr="00685C28">
              <w:rPr>
                <w:rFonts w:ascii="Arial" w:hAnsi="Arial" w:cs="Arial"/>
                <w:b/>
                <w:bCs/>
                <w:sz w:val="20"/>
                <w:szCs w:val="20"/>
              </w:rPr>
              <w:t>550</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b/>
                <w:bCs/>
                <w:sz w:val="20"/>
                <w:szCs w:val="20"/>
              </w:rPr>
            </w:pPr>
            <w:r w:rsidRPr="00685C28">
              <w:rPr>
                <w:rFonts w:ascii="Arial" w:hAnsi="Arial" w:cs="Arial"/>
                <w:b/>
                <w:bCs/>
                <w:sz w:val="20"/>
                <w:szCs w:val="20"/>
              </w:rPr>
              <w:t>2.2%</w:t>
            </w:r>
          </w:p>
        </w:tc>
        <w:tc>
          <w:tcPr>
            <w:tcW w:w="1134" w:type="dxa"/>
            <w:tcBorders>
              <w:top w:val="nil"/>
              <w:left w:val="nil"/>
              <w:bottom w:val="single" w:sz="4" w:space="0" w:color="auto"/>
              <w:right w:val="single" w:sz="4" w:space="0" w:color="auto"/>
            </w:tcBorders>
            <w:shd w:val="clear" w:color="auto" w:fill="auto"/>
            <w:vAlign w:val="bottom"/>
          </w:tcPr>
          <w:p w:rsidR="00033838" w:rsidRPr="00685C28" w:rsidRDefault="00694912" w:rsidP="00033838">
            <w:pPr>
              <w:jc w:val="right"/>
              <w:rPr>
                <w:rFonts w:ascii="Arial" w:hAnsi="Arial" w:cs="Arial"/>
                <w:b/>
                <w:bCs/>
                <w:sz w:val="20"/>
                <w:szCs w:val="20"/>
              </w:rPr>
            </w:pPr>
            <w:r w:rsidRPr="00685C28">
              <w:rPr>
                <w:rFonts w:ascii="Arial" w:hAnsi="Arial" w:cs="Arial"/>
                <w:b/>
                <w:bCs/>
                <w:sz w:val="20"/>
                <w:szCs w:val="20"/>
              </w:rPr>
              <w:t>618</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b/>
                <w:bCs/>
                <w:sz w:val="20"/>
                <w:szCs w:val="20"/>
              </w:rPr>
            </w:pPr>
            <w:r w:rsidRPr="00685C28">
              <w:rPr>
                <w:rFonts w:ascii="Arial" w:hAnsi="Arial" w:cs="Arial"/>
                <w:b/>
                <w:bCs/>
                <w:sz w:val="20"/>
                <w:szCs w:val="20"/>
              </w:rPr>
              <w:t>-9.</w:t>
            </w:r>
            <w:r w:rsidR="00694912" w:rsidRPr="00685C28">
              <w:rPr>
                <w:rFonts w:ascii="Arial" w:hAnsi="Arial" w:cs="Arial"/>
                <w:b/>
                <w:bCs/>
                <w:sz w:val="20"/>
                <w:szCs w:val="20"/>
              </w:rPr>
              <w:t>1</w:t>
            </w:r>
            <w:r w:rsidRPr="00685C28">
              <w:rPr>
                <w:rFonts w:ascii="Arial" w:hAnsi="Arial" w:cs="Arial"/>
                <w:b/>
                <w:bCs/>
                <w:sz w:val="20"/>
                <w:szCs w:val="20"/>
              </w:rPr>
              <w:t>%</w:t>
            </w:r>
          </w:p>
        </w:tc>
      </w:tr>
      <w:tr w:rsidR="00033838" w:rsidRPr="00685C28" w:rsidTr="00033838">
        <w:trPr>
          <w:trHeight w:val="256"/>
        </w:trPr>
        <w:tc>
          <w:tcPr>
            <w:tcW w:w="4515" w:type="dxa"/>
            <w:tcBorders>
              <w:top w:val="single" w:sz="4" w:space="0" w:color="auto"/>
              <w:left w:val="single" w:sz="4" w:space="0" w:color="auto"/>
              <w:bottom w:val="single" w:sz="4" w:space="0" w:color="auto"/>
              <w:right w:val="single" w:sz="4" w:space="0" w:color="auto"/>
            </w:tcBorders>
            <w:vAlign w:val="bottom"/>
          </w:tcPr>
          <w:p w:rsidR="00033838" w:rsidRPr="00685C28" w:rsidRDefault="00033838" w:rsidP="00033838">
            <w:pPr>
              <w:spacing w:beforeLines="40" w:before="96"/>
              <w:rPr>
                <w:rFonts w:ascii="Arial" w:hAnsi="Arial" w:cs="Arial"/>
                <w:sz w:val="20"/>
                <w:szCs w:val="20"/>
              </w:rPr>
            </w:pPr>
            <w:r w:rsidRPr="00685C28">
              <w:rPr>
                <w:rFonts w:ascii="Arial" w:hAnsi="Arial" w:cs="Arial"/>
                <w:sz w:val="20"/>
                <w:szCs w:val="20"/>
              </w:rPr>
              <w:t>Разходи за данъци</w:t>
            </w:r>
          </w:p>
        </w:tc>
        <w:tc>
          <w:tcPr>
            <w:tcW w:w="954" w:type="dxa"/>
            <w:tcBorders>
              <w:top w:val="nil"/>
              <w:left w:val="nil"/>
              <w:bottom w:val="single" w:sz="4" w:space="0" w:color="auto"/>
              <w:right w:val="single" w:sz="4" w:space="0" w:color="auto"/>
            </w:tcBorders>
            <w:shd w:val="clear" w:color="auto" w:fill="auto"/>
            <w:vAlign w:val="bottom"/>
          </w:tcPr>
          <w:p w:rsidR="00033838" w:rsidRPr="00685C28" w:rsidRDefault="00694912" w:rsidP="00033838">
            <w:pPr>
              <w:jc w:val="right"/>
              <w:rPr>
                <w:rFonts w:ascii="Arial" w:hAnsi="Arial" w:cs="Arial"/>
                <w:sz w:val="20"/>
                <w:szCs w:val="20"/>
              </w:rPr>
            </w:pPr>
            <w:r w:rsidRPr="00685C28">
              <w:rPr>
                <w:rFonts w:ascii="Arial" w:hAnsi="Arial" w:cs="Arial"/>
                <w:sz w:val="20"/>
                <w:szCs w:val="20"/>
              </w:rPr>
              <w:t>56</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55</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694912" w:rsidP="00033838">
            <w:pPr>
              <w:jc w:val="right"/>
              <w:rPr>
                <w:rFonts w:ascii="Arial" w:hAnsi="Arial" w:cs="Arial"/>
                <w:sz w:val="20"/>
                <w:szCs w:val="20"/>
              </w:rPr>
            </w:pPr>
            <w:r w:rsidRPr="00685C28">
              <w:rPr>
                <w:rFonts w:ascii="Arial" w:hAnsi="Arial" w:cs="Arial"/>
                <w:sz w:val="20"/>
                <w:szCs w:val="20"/>
              </w:rPr>
              <w:t>1,8</w:t>
            </w:r>
            <w:r w:rsidR="00033838" w:rsidRPr="00685C28">
              <w:rPr>
                <w:rFonts w:ascii="Arial" w:hAnsi="Arial" w:cs="Arial"/>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62</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sz w:val="20"/>
                <w:szCs w:val="20"/>
              </w:rPr>
            </w:pPr>
            <w:r w:rsidRPr="00685C28">
              <w:rPr>
                <w:rFonts w:ascii="Arial" w:hAnsi="Arial" w:cs="Arial"/>
                <w:sz w:val="20"/>
                <w:szCs w:val="20"/>
              </w:rPr>
              <w:t>-</w:t>
            </w:r>
            <w:r w:rsidR="00694912" w:rsidRPr="00685C28">
              <w:rPr>
                <w:rFonts w:ascii="Arial" w:hAnsi="Arial" w:cs="Arial"/>
                <w:sz w:val="20"/>
                <w:szCs w:val="20"/>
              </w:rPr>
              <w:t>9</w:t>
            </w:r>
            <w:r w:rsidRPr="00685C28">
              <w:rPr>
                <w:rFonts w:ascii="Arial" w:hAnsi="Arial" w:cs="Arial"/>
                <w:sz w:val="20"/>
                <w:szCs w:val="20"/>
              </w:rPr>
              <w:t>.</w:t>
            </w:r>
            <w:r w:rsidR="00694912" w:rsidRPr="00685C28">
              <w:rPr>
                <w:rFonts w:ascii="Arial" w:hAnsi="Arial" w:cs="Arial"/>
                <w:sz w:val="20"/>
                <w:szCs w:val="20"/>
              </w:rPr>
              <w:t>7</w:t>
            </w:r>
            <w:r w:rsidRPr="00685C28">
              <w:rPr>
                <w:rFonts w:ascii="Arial" w:hAnsi="Arial" w:cs="Arial"/>
                <w:sz w:val="20"/>
                <w:szCs w:val="20"/>
              </w:rPr>
              <w:t>%</w:t>
            </w:r>
          </w:p>
        </w:tc>
      </w:tr>
      <w:tr w:rsidR="00033838" w:rsidRPr="00685C28" w:rsidTr="00033838">
        <w:trPr>
          <w:trHeight w:val="256"/>
        </w:trPr>
        <w:tc>
          <w:tcPr>
            <w:tcW w:w="4515" w:type="dxa"/>
            <w:tcBorders>
              <w:top w:val="single" w:sz="4" w:space="0" w:color="auto"/>
              <w:left w:val="single" w:sz="4" w:space="0" w:color="auto"/>
              <w:bottom w:val="single" w:sz="4" w:space="0" w:color="auto"/>
              <w:right w:val="single" w:sz="4" w:space="0" w:color="auto"/>
            </w:tcBorders>
            <w:vAlign w:val="bottom"/>
          </w:tcPr>
          <w:p w:rsidR="00033838" w:rsidRPr="00685C28" w:rsidRDefault="00033838" w:rsidP="00033838">
            <w:pPr>
              <w:spacing w:beforeLines="40" w:before="96"/>
              <w:rPr>
                <w:rFonts w:ascii="Arial" w:hAnsi="Arial" w:cs="Arial"/>
                <w:sz w:val="20"/>
                <w:szCs w:val="20"/>
              </w:rPr>
            </w:pPr>
            <w:r w:rsidRPr="00685C28">
              <w:rPr>
                <w:rFonts w:ascii="Arial" w:hAnsi="Arial" w:cs="Arial"/>
                <w:b/>
                <w:sz w:val="20"/>
                <w:szCs w:val="20"/>
              </w:rPr>
              <w:t>Чиста печалба</w:t>
            </w:r>
          </w:p>
        </w:tc>
        <w:tc>
          <w:tcPr>
            <w:tcW w:w="954"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b/>
                <w:bCs/>
                <w:sz w:val="20"/>
                <w:szCs w:val="20"/>
              </w:rPr>
            </w:pPr>
            <w:r w:rsidRPr="00685C28">
              <w:rPr>
                <w:rFonts w:ascii="Arial" w:hAnsi="Arial" w:cs="Arial"/>
                <w:b/>
                <w:bCs/>
                <w:sz w:val="20"/>
                <w:szCs w:val="20"/>
              </w:rPr>
              <w:t>50</w:t>
            </w:r>
            <w:r w:rsidR="00694912" w:rsidRPr="00685C28">
              <w:rPr>
                <w:rFonts w:ascii="Arial" w:hAnsi="Arial" w:cs="Arial"/>
                <w:b/>
                <w:bCs/>
                <w:sz w:val="20"/>
                <w:szCs w:val="20"/>
              </w:rPr>
              <w:t>6</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b/>
                <w:bCs/>
                <w:sz w:val="20"/>
                <w:szCs w:val="20"/>
              </w:rPr>
            </w:pPr>
            <w:r w:rsidRPr="00685C28">
              <w:rPr>
                <w:rFonts w:ascii="Arial" w:hAnsi="Arial" w:cs="Arial"/>
                <w:b/>
                <w:bCs/>
                <w:sz w:val="20"/>
                <w:szCs w:val="20"/>
              </w:rPr>
              <w:t>495</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694912" w:rsidP="00033838">
            <w:pPr>
              <w:jc w:val="right"/>
              <w:rPr>
                <w:rFonts w:ascii="Arial" w:hAnsi="Arial" w:cs="Arial"/>
                <w:b/>
                <w:bCs/>
                <w:sz w:val="20"/>
                <w:szCs w:val="20"/>
              </w:rPr>
            </w:pPr>
            <w:r w:rsidRPr="00685C28">
              <w:rPr>
                <w:rFonts w:ascii="Arial" w:hAnsi="Arial" w:cs="Arial"/>
                <w:b/>
                <w:bCs/>
                <w:sz w:val="20"/>
                <w:szCs w:val="20"/>
              </w:rPr>
              <w:t>2,2</w:t>
            </w:r>
            <w:r w:rsidR="00033838" w:rsidRPr="00685C28">
              <w:rPr>
                <w:rFonts w:ascii="Arial" w:hAnsi="Arial" w:cs="Arial"/>
                <w:b/>
                <w:bCs/>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033838" w:rsidRPr="00685C28" w:rsidRDefault="00694912" w:rsidP="00033838">
            <w:pPr>
              <w:jc w:val="right"/>
              <w:rPr>
                <w:rFonts w:ascii="Arial" w:hAnsi="Arial" w:cs="Arial"/>
                <w:b/>
                <w:bCs/>
                <w:sz w:val="20"/>
                <w:szCs w:val="20"/>
              </w:rPr>
            </w:pPr>
            <w:r w:rsidRPr="00685C28">
              <w:rPr>
                <w:rFonts w:ascii="Arial" w:hAnsi="Arial" w:cs="Arial"/>
                <w:b/>
                <w:bCs/>
                <w:sz w:val="20"/>
                <w:szCs w:val="20"/>
              </w:rPr>
              <w:t>556</w:t>
            </w:r>
          </w:p>
        </w:tc>
        <w:tc>
          <w:tcPr>
            <w:tcW w:w="992" w:type="dxa"/>
            <w:tcBorders>
              <w:top w:val="nil"/>
              <w:left w:val="nil"/>
              <w:bottom w:val="single" w:sz="4" w:space="0" w:color="auto"/>
              <w:right w:val="single" w:sz="4" w:space="0" w:color="auto"/>
            </w:tcBorders>
            <w:shd w:val="clear" w:color="auto" w:fill="auto"/>
            <w:vAlign w:val="bottom"/>
          </w:tcPr>
          <w:p w:rsidR="00033838" w:rsidRPr="00685C28" w:rsidRDefault="00033838" w:rsidP="00033838">
            <w:pPr>
              <w:jc w:val="right"/>
              <w:rPr>
                <w:rFonts w:ascii="Arial" w:hAnsi="Arial" w:cs="Arial"/>
                <w:b/>
                <w:bCs/>
                <w:sz w:val="20"/>
                <w:szCs w:val="20"/>
              </w:rPr>
            </w:pPr>
            <w:r w:rsidRPr="00685C28">
              <w:rPr>
                <w:rFonts w:ascii="Arial" w:hAnsi="Arial" w:cs="Arial"/>
                <w:b/>
                <w:bCs/>
                <w:sz w:val="20"/>
                <w:szCs w:val="20"/>
              </w:rPr>
              <w:t>-</w:t>
            </w:r>
            <w:r w:rsidR="00694912" w:rsidRPr="00685C28">
              <w:rPr>
                <w:rFonts w:ascii="Arial" w:hAnsi="Arial" w:cs="Arial"/>
                <w:b/>
                <w:bCs/>
                <w:sz w:val="20"/>
                <w:szCs w:val="20"/>
              </w:rPr>
              <w:t>9,0</w:t>
            </w:r>
            <w:r w:rsidRPr="00685C28">
              <w:rPr>
                <w:rFonts w:ascii="Arial" w:hAnsi="Arial" w:cs="Arial"/>
                <w:b/>
                <w:bCs/>
                <w:sz w:val="20"/>
                <w:szCs w:val="20"/>
              </w:rPr>
              <w:t>%</w:t>
            </w:r>
          </w:p>
        </w:tc>
      </w:tr>
    </w:tbl>
    <w:p w:rsidR="00D17BBE" w:rsidRPr="00685C28" w:rsidRDefault="00D17BBE" w:rsidP="008438C4">
      <w:pPr>
        <w:pStyle w:val="BodyTextIndent"/>
        <w:spacing w:after="120"/>
        <w:ind w:firstLine="709"/>
        <w:rPr>
          <w:rFonts w:eastAsia="Times New Roman"/>
          <w:i/>
          <w:u w:val="single"/>
          <w:lang w:eastAsia="bg-BG"/>
        </w:rPr>
      </w:pPr>
    </w:p>
    <w:p w:rsidR="008438C4" w:rsidRPr="003D5468" w:rsidRDefault="00A93B4C" w:rsidP="008438C4">
      <w:pPr>
        <w:pStyle w:val="BodyTextIndent"/>
        <w:spacing w:after="120"/>
        <w:ind w:firstLine="709"/>
        <w:rPr>
          <w:rFonts w:eastAsia="Times New Roman"/>
          <w:lang w:eastAsia="bg-BG"/>
        </w:rPr>
      </w:pPr>
      <w:r w:rsidRPr="00685C28">
        <w:rPr>
          <w:i/>
          <w:u w:val="single"/>
        </w:rPr>
        <w:t>Структурата на приходите</w:t>
      </w:r>
      <w:r w:rsidRPr="00685C28">
        <w:t xml:space="preserve"> на Пристанищен комплекс-Русе ЕАД няма съществени изменения през годините. </w:t>
      </w:r>
      <w:r w:rsidRPr="00685C28">
        <w:rPr>
          <w:i/>
        </w:rPr>
        <w:t>Нетните приходи от продажби</w:t>
      </w:r>
      <w:r w:rsidRPr="00685C28">
        <w:t xml:space="preserve"> представляват 92,3 % от общите приходи на дружеството. </w:t>
      </w:r>
      <w:r w:rsidRPr="00685C28">
        <w:rPr>
          <w:i/>
        </w:rPr>
        <w:t>Другите приходи</w:t>
      </w:r>
      <w:r w:rsidRPr="00685C28">
        <w:t xml:space="preserve"> в които влизат приходи със случаен характер, като застрахователни обезщетения, финансирания, приходи от преоценки и други заемат 7,3%. През 2019г. в перо </w:t>
      </w:r>
      <w:r w:rsidRPr="00685C28">
        <w:rPr>
          <w:i/>
        </w:rPr>
        <w:t>Други приходи</w:t>
      </w:r>
      <w:r w:rsidRPr="00685C28">
        <w:t xml:space="preserve"> влиза, изплатената сума от 184 хил.</w:t>
      </w:r>
      <w:r w:rsidR="00BB77A4" w:rsidRPr="00685C28">
        <w:t xml:space="preserve"> </w:t>
      </w:r>
      <w:r w:rsidRPr="00685C28">
        <w:t>лв. от първата частична сметка за разпределение на приети вземания към КТБ АД</w:t>
      </w:r>
      <w:r w:rsidR="00461A3E" w:rsidRPr="00685C28">
        <w:t>, съгл. Закона за банковата несъстоятелност</w:t>
      </w:r>
      <w:r w:rsidRPr="00685C28">
        <w:t>. Също така в това перо са посочени и 171 хил.</w:t>
      </w:r>
      <w:r w:rsidR="00BB77A4" w:rsidRPr="00685C28">
        <w:t xml:space="preserve"> </w:t>
      </w:r>
      <w:r w:rsidRPr="00685C28">
        <w:t>лв. представляващ</w:t>
      </w:r>
      <w:r w:rsidR="00461A3E" w:rsidRPr="00685C28">
        <w:t>и</w:t>
      </w:r>
      <w:r w:rsidRPr="00685C28">
        <w:t xml:space="preserve"> </w:t>
      </w:r>
      <w:r w:rsidR="00461A3E" w:rsidRPr="00685C28">
        <w:t xml:space="preserve">изплатени от Министерството на труда и социалната политика по проект „Създаване на условия за </w:t>
      </w:r>
      <w:r w:rsidR="00461A3E" w:rsidRPr="00685C28">
        <w:lastRenderedPageBreak/>
        <w:t>устойчива заетост“ от оперативна програма „Развитие на човешките ресурси“ 2014-2020 г.</w:t>
      </w:r>
      <w:r w:rsidR="009A5D3C" w:rsidRPr="00685C28">
        <w:t>,</w:t>
      </w:r>
      <w:r w:rsidR="00461A3E" w:rsidRPr="00685C28">
        <w:t xml:space="preserve"> </w:t>
      </w:r>
      <w:r w:rsidRPr="00685C28">
        <w:t>направени</w:t>
      </w:r>
      <w:r w:rsidR="00461A3E" w:rsidRPr="00685C28">
        <w:t xml:space="preserve"> и</w:t>
      </w:r>
      <w:r w:rsidRPr="00685C28">
        <w:t xml:space="preserve"> </w:t>
      </w:r>
      <w:r w:rsidR="00461A3E" w:rsidRPr="00685C28">
        <w:t xml:space="preserve">верифицирани </w:t>
      </w:r>
      <w:r w:rsidRPr="00685C28">
        <w:t>разходи</w:t>
      </w:r>
      <w:r w:rsidR="00461A3E" w:rsidRPr="00685C28">
        <w:t>.</w:t>
      </w:r>
      <w:r w:rsidRPr="00685C28">
        <w:t xml:space="preserve"> </w:t>
      </w:r>
      <w:r w:rsidRPr="00685C28">
        <w:rPr>
          <w:i/>
        </w:rPr>
        <w:t>Приходите от финансова дейност</w:t>
      </w:r>
      <w:r w:rsidRPr="00685C28">
        <w:t xml:space="preserve"> са 0,4 % от общите и са съставени от положителни курсови разлики по валутните сметки и акумулирани лихви по парични средства в банки</w:t>
      </w:r>
      <w:r w:rsidR="008438C4" w:rsidRPr="00685C28">
        <w:rPr>
          <w:rFonts w:eastAsia="Times New Roman"/>
          <w:lang w:eastAsia="bg-BG"/>
        </w:rPr>
        <w:t>.</w:t>
      </w:r>
    </w:p>
    <w:p w:rsidR="007E0DC6" w:rsidRPr="003D5468" w:rsidRDefault="00A93B4C" w:rsidP="007E0DC6">
      <w:pPr>
        <w:pStyle w:val="BodyTextIndent"/>
        <w:spacing w:after="120"/>
        <w:ind w:firstLine="709"/>
        <w:rPr>
          <w:rFonts w:eastAsia="Times New Roman"/>
          <w:lang w:eastAsia="bg-BG"/>
        </w:rPr>
      </w:pPr>
      <w:bookmarkStart w:id="51" w:name="_Hlk506994477"/>
      <w:r w:rsidRPr="005E77C9">
        <w:rPr>
          <w:rFonts w:eastAsia="Times New Roman"/>
          <w:lang w:eastAsia="bg-BG"/>
        </w:rPr>
        <w:t>За 2019</w:t>
      </w:r>
      <w:r w:rsidRPr="005E77C9">
        <w:rPr>
          <w:rFonts w:eastAsia="Times New Roman"/>
          <w:lang w:val="en-US" w:eastAsia="bg-BG"/>
        </w:rPr>
        <w:t xml:space="preserve"> </w:t>
      </w:r>
      <w:r w:rsidRPr="005E77C9">
        <w:rPr>
          <w:rFonts w:eastAsia="Times New Roman"/>
          <w:lang w:eastAsia="bg-BG"/>
        </w:rPr>
        <w:t xml:space="preserve">г. </w:t>
      </w:r>
      <w:r w:rsidRPr="005E77C9">
        <w:rPr>
          <w:rFonts w:eastAsia="Times New Roman"/>
          <w:i/>
          <w:u w:val="single"/>
          <w:lang w:eastAsia="bg-BG"/>
        </w:rPr>
        <w:t>разходите по икономически елементи</w:t>
      </w:r>
      <w:r w:rsidRPr="005E77C9">
        <w:rPr>
          <w:rFonts w:eastAsia="Times New Roman"/>
          <w:lang w:eastAsia="bg-BG"/>
        </w:rPr>
        <w:t xml:space="preserve"> възлизат на 5 092 хил.лв. при 4 683 хил.лв. през 2018</w:t>
      </w:r>
      <w:r w:rsidRPr="005E77C9">
        <w:rPr>
          <w:rFonts w:eastAsia="Times New Roman"/>
          <w:lang w:val="en-US" w:eastAsia="bg-BG"/>
        </w:rPr>
        <w:t xml:space="preserve"> </w:t>
      </w:r>
      <w:r w:rsidRPr="005E77C9">
        <w:rPr>
          <w:rFonts w:eastAsia="Times New Roman"/>
          <w:lang w:eastAsia="bg-BG"/>
        </w:rPr>
        <w:t xml:space="preserve">г. По този начин се отчита увеличение на разходите в размер на 409 хил.лв. </w:t>
      </w:r>
      <w:r w:rsidR="00D9165E" w:rsidRPr="005E77C9">
        <w:rPr>
          <w:rFonts w:eastAsia="Times New Roman"/>
          <w:lang w:eastAsia="bg-BG"/>
        </w:rPr>
        <w:t>(</w:t>
      </w:r>
      <w:r w:rsidRPr="005E77C9">
        <w:rPr>
          <w:rFonts w:eastAsia="Times New Roman"/>
          <w:lang w:eastAsia="bg-BG"/>
        </w:rPr>
        <w:t>8,7%</w:t>
      </w:r>
      <w:r w:rsidR="00D9165E" w:rsidRPr="005E77C9">
        <w:rPr>
          <w:rFonts w:eastAsia="Times New Roman"/>
          <w:lang w:eastAsia="bg-BG"/>
        </w:rPr>
        <w:t>)</w:t>
      </w:r>
      <w:r w:rsidRPr="005E77C9">
        <w:rPr>
          <w:rFonts w:eastAsia="Times New Roman"/>
          <w:lang w:eastAsia="bg-BG"/>
        </w:rPr>
        <w:t>.</w:t>
      </w:r>
      <w:r w:rsidR="007E0DC6" w:rsidRPr="005E77C9">
        <w:rPr>
          <w:rFonts w:eastAsia="Times New Roman"/>
          <w:lang w:eastAsia="bg-BG"/>
        </w:rPr>
        <w:t xml:space="preserve"> </w:t>
      </w:r>
      <w:r w:rsidR="00AB18AF" w:rsidRPr="005E77C9">
        <w:rPr>
          <w:rFonts w:eastAsia="Times New Roman"/>
          <w:lang w:eastAsia="bg-BG"/>
        </w:rPr>
        <w:t xml:space="preserve">Най-отчетливо това увеличение се наблюдава при </w:t>
      </w:r>
      <w:r w:rsidR="00AB18AF" w:rsidRPr="005E77C9">
        <w:rPr>
          <w:rFonts w:eastAsia="Times New Roman"/>
          <w:i/>
          <w:lang w:eastAsia="bg-BG"/>
        </w:rPr>
        <w:t>Разходите за материали и външни услуги,</w:t>
      </w:r>
      <w:r w:rsidR="00AB18AF" w:rsidRPr="005E77C9">
        <w:rPr>
          <w:rFonts w:eastAsia="Times New Roman"/>
          <w:lang w:eastAsia="bg-BG"/>
        </w:rPr>
        <w:t xml:space="preserve"> които се увеличават общо със 137 хил.лв. </w:t>
      </w:r>
      <w:r w:rsidR="00D9165E" w:rsidRPr="005E77C9">
        <w:rPr>
          <w:rFonts w:eastAsia="Times New Roman"/>
          <w:lang w:eastAsia="bg-BG"/>
        </w:rPr>
        <w:t>(</w:t>
      </w:r>
      <w:r w:rsidR="00AB18AF" w:rsidRPr="005E77C9">
        <w:rPr>
          <w:rFonts w:eastAsia="Times New Roman"/>
          <w:lang w:eastAsia="bg-BG"/>
        </w:rPr>
        <w:t>9%</w:t>
      </w:r>
      <w:r w:rsidR="00D9165E" w:rsidRPr="005E77C9">
        <w:rPr>
          <w:rFonts w:eastAsia="Times New Roman"/>
          <w:lang w:eastAsia="bg-BG"/>
        </w:rPr>
        <w:t>)</w:t>
      </w:r>
      <w:r w:rsidR="00AB18AF" w:rsidRPr="005E77C9">
        <w:rPr>
          <w:rFonts w:eastAsia="Times New Roman"/>
          <w:lang w:eastAsia="bg-BG"/>
        </w:rPr>
        <w:t xml:space="preserve"> и </w:t>
      </w:r>
      <w:r w:rsidR="00AB18AF" w:rsidRPr="005E77C9">
        <w:rPr>
          <w:rFonts w:eastAsia="Times New Roman"/>
          <w:i/>
          <w:lang w:eastAsia="bg-BG"/>
        </w:rPr>
        <w:t>Разходите за персонала</w:t>
      </w:r>
      <w:r w:rsidR="00AB18AF" w:rsidRPr="005E77C9">
        <w:rPr>
          <w:rFonts w:eastAsia="Times New Roman"/>
          <w:lang w:eastAsia="bg-BG"/>
        </w:rPr>
        <w:t xml:space="preserve"> (заплати и осигуровки), които общо нарастват със 130 хил.лв. </w:t>
      </w:r>
      <w:r w:rsidR="00D9165E" w:rsidRPr="005E77C9">
        <w:rPr>
          <w:rFonts w:eastAsia="Times New Roman"/>
          <w:lang w:eastAsia="bg-BG"/>
        </w:rPr>
        <w:t>(</w:t>
      </w:r>
      <w:r w:rsidR="00AB18AF" w:rsidRPr="005E77C9">
        <w:rPr>
          <w:rFonts w:eastAsia="Times New Roman"/>
          <w:lang w:eastAsia="bg-BG"/>
        </w:rPr>
        <w:t>4,8%</w:t>
      </w:r>
      <w:r w:rsidR="00D9165E" w:rsidRPr="005E77C9">
        <w:rPr>
          <w:rFonts w:eastAsia="Times New Roman"/>
          <w:lang w:eastAsia="bg-BG"/>
        </w:rPr>
        <w:t>)</w:t>
      </w:r>
      <w:r w:rsidR="00AB18AF" w:rsidRPr="005E77C9">
        <w:rPr>
          <w:rFonts w:eastAsia="Times New Roman"/>
          <w:lang w:eastAsia="bg-BG"/>
        </w:rPr>
        <w:t>.</w:t>
      </w:r>
    </w:p>
    <w:p w:rsidR="007E0DC6" w:rsidRPr="005E77C9" w:rsidRDefault="00AB18AF" w:rsidP="007E0DC6">
      <w:pPr>
        <w:pStyle w:val="BodyTextIndent"/>
        <w:spacing w:after="120"/>
        <w:ind w:firstLine="709"/>
        <w:jc w:val="center"/>
      </w:pPr>
      <w:r w:rsidRPr="005E77C9">
        <w:rPr>
          <w:noProof/>
          <w:lang w:eastAsia="bg-BG"/>
        </w:rPr>
        <w:drawing>
          <wp:inline distT="0" distB="0" distL="0" distR="0" wp14:anchorId="6A4E49AC" wp14:editId="586D28FE">
            <wp:extent cx="4543425" cy="2743198"/>
            <wp:effectExtent l="0" t="0" r="9525" b="635"/>
            <wp:docPr id="8" name="Диаграма 8">
              <a:extLst xmlns:a="http://schemas.openxmlformats.org/drawingml/2006/main">
                <a:ext uri="{FF2B5EF4-FFF2-40B4-BE49-F238E27FC236}">
                  <a16:creationId xmlns:a16="http://schemas.microsoft.com/office/drawing/2014/main" id="{BD9B92A5-8587-4A22-BE3F-3BED19D009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452DE" w:rsidRPr="005E77C9" w:rsidRDefault="00F12F2D" w:rsidP="008438C4">
      <w:pPr>
        <w:spacing w:after="120"/>
        <w:ind w:firstLine="709"/>
        <w:jc w:val="both"/>
        <w:rPr>
          <w:b/>
        </w:rPr>
      </w:pPr>
      <w:r w:rsidRPr="005E77C9">
        <w:rPr>
          <w:rFonts w:eastAsia="Times New Roman"/>
          <w:lang w:eastAsia="bg-BG"/>
        </w:rPr>
        <w:t xml:space="preserve">  </w:t>
      </w:r>
      <w:r w:rsidR="003452DE" w:rsidRPr="005E77C9">
        <w:rPr>
          <w:b/>
        </w:rPr>
        <w:t>Изменение на разходите по отделни елементи:</w:t>
      </w:r>
    </w:p>
    <w:p w:rsidR="0097342D" w:rsidRPr="0097342D" w:rsidRDefault="006F7A0B" w:rsidP="00685C28">
      <w:pPr>
        <w:numPr>
          <w:ilvl w:val="0"/>
          <w:numId w:val="15"/>
        </w:numPr>
        <w:tabs>
          <w:tab w:val="clear" w:pos="113"/>
          <w:tab w:val="left" w:pos="709"/>
        </w:tabs>
        <w:spacing w:after="120"/>
        <w:ind w:firstLine="142"/>
        <w:jc w:val="both"/>
        <w:rPr>
          <w:rFonts w:eastAsia="Times New Roman"/>
          <w:lang w:eastAsia="bg-BG"/>
        </w:rPr>
      </w:pPr>
      <w:r w:rsidRPr="00685C28">
        <w:rPr>
          <w:b/>
          <w:i/>
        </w:rPr>
        <w:t>разходите за материали</w:t>
      </w:r>
      <w:r w:rsidRPr="005E77C9">
        <w:t xml:space="preserve"> се увеличават с </w:t>
      </w:r>
      <w:r w:rsidRPr="005E77C9">
        <w:rPr>
          <w:lang w:val="en-US"/>
        </w:rPr>
        <w:t>70</w:t>
      </w:r>
      <w:r w:rsidRPr="005E77C9">
        <w:t xml:space="preserve"> хил.</w:t>
      </w:r>
      <w:r w:rsidR="00BB77A4" w:rsidRPr="005E77C9">
        <w:t xml:space="preserve"> </w:t>
      </w:r>
      <w:r w:rsidRPr="005E77C9">
        <w:t xml:space="preserve">лв. </w:t>
      </w:r>
      <w:r w:rsidR="00D9165E" w:rsidRPr="005E77C9">
        <w:t>(</w:t>
      </w:r>
      <w:r w:rsidRPr="005E77C9">
        <w:t>13%</w:t>
      </w:r>
      <w:r w:rsidR="00D9165E" w:rsidRPr="005E77C9">
        <w:t>)</w:t>
      </w:r>
      <w:r w:rsidRPr="005E77C9">
        <w:t xml:space="preserve">, а общата им стойност към края на 2019 г. възлиза на </w:t>
      </w:r>
      <w:r w:rsidRPr="005E77C9">
        <w:rPr>
          <w:lang w:val="en-US"/>
        </w:rPr>
        <w:t>614</w:t>
      </w:r>
      <w:r w:rsidRPr="005E77C9">
        <w:t xml:space="preserve"> хил.</w:t>
      </w:r>
      <w:r w:rsidR="00BB77A4" w:rsidRPr="005E77C9">
        <w:t xml:space="preserve"> </w:t>
      </w:r>
      <w:r w:rsidRPr="005E77C9">
        <w:t xml:space="preserve">лв. </w:t>
      </w:r>
      <w:r w:rsidR="0097342D" w:rsidRPr="0097342D">
        <w:rPr>
          <w:rFonts w:eastAsia="Times New Roman"/>
          <w:lang w:eastAsia="bg-BG"/>
        </w:rPr>
        <w:t xml:space="preserve">Най-съществено увеличение бележат изразходените средства за </w:t>
      </w:r>
      <w:r w:rsidR="0097342D" w:rsidRPr="0097342D">
        <w:rPr>
          <w:rFonts w:eastAsia="Times New Roman"/>
          <w:i/>
          <w:lang w:eastAsia="bg-BG"/>
        </w:rPr>
        <w:t>материали</w:t>
      </w:r>
      <w:r w:rsidR="0097342D" w:rsidRPr="0097342D">
        <w:rPr>
          <w:rFonts w:eastAsia="Times New Roman"/>
          <w:lang w:eastAsia="bg-BG"/>
        </w:rPr>
        <w:t xml:space="preserve">, които нарастват с </w:t>
      </w:r>
      <w:r w:rsidR="0097342D" w:rsidRPr="0097342D">
        <w:rPr>
          <w:rFonts w:eastAsia="Times New Roman"/>
          <w:lang w:val="en-US" w:eastAsia="bg-BG"/>
        </w:rPr>
        <w:t>65</w:t>
      </w:r>
      <w:r w:rsidR="0097342D" w:rsidRPr="0097342D">
        <w:rPr>
          <w:rFonts w:eastAsia="Times New Roman"/>
          <w:lang w:eastAsia="bg-BG"/>
        </w:rPr>
        <w:t xml:space="preserve"> хил. лв. (8</w:t>
      </w:r>
      <w:r w:rsidR="0097342D" w:rsidRPr="0097342D">
        <w:rPr>
          <w:rFonts w:eastAsia="Times New Roman"/>
          <w:lang w:val="en-US" w:eastAsia="bg-BG"/>
        </w:rPr>
        <w:t>2</w:t>
      </w:r>
      <w:r w:rsidR="0097342D" w:rsidRPr="0097342D">
        <w:rPr>
          <w:rFonts w:eastAsia="Times New Roman"/>
          <w:lang w:eastAsia="bg-BG"/>
        </w:rPr>
        <w:t xml:space="preserve"> %), </w:t>
      </w:r>
      <w:r w:rsidR="0097342D" w:rsidRPr="0097342D">
        <w:rPr>
          <w:rFonts w:eastAsia="Times New Roman"/>
          <w:i/>
          <w:lang w:eastAsia="bg-BG"/>
        </w:rPr>
        <w:t>ГСМ</w:t>
      </w:r>
      <w:r w:rsidR="0097342D" w:rsidRPr="0097342D">
        <w:rPr>
          <w:rFonts w:eastAsia="Times New Roman"/>
          <w:lang w:eastAsia="bg-BG"/>
        </w:rPr>
        <w:t xml:space="preserve"> с 1</w:t>
      </w:r>
      <w:r w:rsidR="0097342D" w:rsidRPr="0097342D">
        <w:rPr>
          <w:rFonts w:eastAsia="Times New Roman"/>
          <w:lang w:val="en-US" w:eastAsia="bg-BG"/>
        </w:rPr>
        <w:t>3</w:t>
      </w:r>
      <w:r w:rsidR="0097342D" w:rsidRPr="0097342D">
        <w:rPr>
          <w:rFonts w:eastAsia="Times New Roman"/>
          <w:lang w:eastAsia="bg-BG"/>
        </w:rPr>
        <w:t xml:space="preserve"> хил.лв. (</w:t>
      </w:r>
      <w:r w:rsidR="0097342D" w:rsidRPr="0097342D">
        <w:rPr>
          <w:rFonts w:eastAsia="Times New Roman"/>
          <w:lang w:val="en-US" w:eastAsia="bg-BG"/>
        </w:rPr>
        <w:t>9</w:t>
      </w:r>
      <w:r w:rsidR="0097342D" w:rsidRPr="0097342D">
        <w:rPr>
          <w:rFonts w:eastAsia="Times New Roman"/>
          <w:lang w:eastAsia="bg-BG"/>
        </w:rPr>
        <w:t>%)</w:t>
      </w:r>
      <w:r w:rsidR="0097342D" w:rsidRPr="0097342D">
        <w:rPr>
          <w:rFonts w:eastAsia="Times New Roman"/>
          <w:lang w:val="en-US" w:eastAsia="bg-BG"/>
        </w:rPr>
        <w:t xml:space="preserve"> </w:t>
      </w:r>
      <w:r w:rsidR="0097342D" w:rsidRPr="0097342D">
        <w:rPr>
          <w:rFonts w:eastAsia="Times New Roman"/>
          <w:lang w:eastAsia="bg-BG"/>
        </w:rPr>
        <w:t>и работно облекло със 7 хил. лв. (88 %). Намаляват разходите за ел.енергия с -</w:t>
      </w:r>
      <w:r w:rsidR="0097342D" w:rsidRPr="0097342D">
        <w:rPr>
          <w:rFonts w:eastAsia="Times New Roman"/>
          <w:lang w:val="en-US" w:eastAsia="bg-BG"/>
        </w:rPr>
        <w:t>1</w:t>
      </w:r>
      <w:r w:rsidR="0097342D" w:rsidRPr="0097342D">
        <w:rPr>
          <w:rFonts w:eastAsia="Times New Roman"/>
          <w:lang w:eastAsia="bg-BG"/>
        </w:rPr>
        <w:t>2 хил. лв. (-</w:t>
      </w:r>
      <w:r w:rsidR="0097342D" w:rsidRPr="0097342D">
        <w:rPr>
          <w:rFonts w:eastAsia="Times New Roman"/>
          <w:lang w:val="en-US" w:eastAsia="bg-BG"/>
        </w:rPr>
        <w:t>5</w:t>
      </w:r>
      <w:r w:rsidR="0097342D" w:rsidRPr="0097342D">
        <w:rPr>
          <w:rFonts w:eastAsia="Times New Roman"/>
          <w:lang w:eastAsia="bg-BG"/>
        </w:rPr>
        <w:t>%);</w:t>
      </w:r>
    </w:p>
    <w:p w:rsidR="003452DE" w:rsidRPr="00685C28" w:rsidRDefault="006F7A0B" w:rsidP="00685C28">
      <w:pPr>
        <w:numPr>
          <w:ilvl w:val="0"/>
          <w:numId w:val="3"/>
        </w:numPr>
        <w:tabs>
          <w:tab w:val="clear" w:pos="113"/>
          <w:tab w:val="num" w:pos="709"/>
        </w:tabs>
        <w:spacing w:after="120"/>
        <w:jc w:val="both"/>
      </w:pPr>
      <w:r w:rsidRPr="00685C28">
        <w:rPr>
          <w:b/>
          <w:i/>
        </w:rPr>
        <w:t>разходите за външни услуги</w:t>
      </w:r>
      <w:r w:rsidRPr="00685C28">
        <w:t xml:space="preserve"> също увеличават обема си с 67 хил.</w:t>
      </w:r>
      <w:r w:rsidR="00BB77A4" w:rsidRPr="00685C28">
        <w:t xml:space="preserve"> </w:t>
      </w:r>
      <w:r w:rsidRPr="00685C28">
        <w:t xml:space="preserve">лв. </w:t>
      </w:r>
      <w:r w:rsidR="00D9165E" w:rsidRPr="00685C28">
        <w:t>(</w:t>
      </w:r>
      <w:r w:rsidRPr="00685C28">
        <w:t>7%</w:t>
      </w:r>
      <w:r w:rsidR="00D9165E" w:rsidRPr="00685C28">
        <w:t>)</w:t>
      </w:r>
      <w:r w:rsidRPr="00685C28">
        <w:t xml:space="preserve"> и за 2019</w:t>
      </w:r>
      <w:r w:rsidRPr="00685C28">
        <w:rPr>
          <w:lang w:val="en-US"/>
        </w:rPr>
        <w:t xml:space="preserve"> </w:t>
      </w:r>
      <w:r w:rsidRPr="00685C28">
        <w:t>г. възлизат на 970 хил.</w:t>
      </w:r>
      <w:r w:rsidR="00BB77A4" w:rsidRPr="00685C28">
        <w:t xml:space="preserve"> </w:t>
      </w:r>
      <w:r w:rsidRPr="00685C28">
        <w:t xml:space="preserve">лв. Най-голям ръст имат разходите за </w:t>
      </w:r>
      <w:r w:rsidRPr="00685C28">
        <w:rPr>
          <w:i/>
        </w:rPr>
        <w:t>ремонт</w:t>
      </w:r>
      <w:r w:rsidRPr="00685C28">
        <w:t>, които нарастват с 9</w:t>
      </w:r>
      <w:r w:rsidR="0097342D" w:rsidRPr="00685C28">
        <w:t>0</w:t>
      </w:r>
      <w:r w:rsidRPr="00685C28">
        <w:t xml:space="preserve"> хил.</w:t>
      </w:r>
      <w:r w:rsidR="00BB77A4" w:rsidRPr="00685C28">
        <w:t xml:space="preserve"> </w:t>
      </w:r>
      <w:r w:rsidRPr="00685C28">
        <w:t>лв. в следствие на извършен ремонт на м/к Мираж.</w:t>
      </w:r>
      <w:r w:rsidRPr="00685C28">
        <w:rPr>
          <w:i/>
        </w:rPr>
        <w:t xml:space="preserve"> </w:t>
      </w:r>
      <w:r w:rsidRPr="00685C28">
        <w:t>Нарастват и разходите за</w:t>
      </w:r>
      <w:r w:rsidRPr="00685C28">
        <w:rPr>
          <w:i/>
        </w:rPr>
        <w:t xml:space="preserve"> охрана</w:t>
      </w:r>
      <w:r w:rsidRPr="00685C28">
        <w:t xml:space="preserve"> с </w:t>
      </w:r>
      <w:r w:rsidR="0097342D" w:rsidRPr="00685C28">
        <w:t>39</w:t>
      </w:r>
      <w:r w:rsidRPr="00685C28">
        <w:t xml:space="preserve"> хил.</w:t>
      </w:r>
      <w:r w:rsidR="00BB77A4" w:rsidRPr="00685C28">
        <w:t xml:space="preserve"> </w:t>
      </w:r>
      <w:r w:rsidRPr="00685C28">
        <w:t xml:space="preserve">лв. </w:t>
      </w:r>
      <w:r w:rsidR="00D9165E" w:rsidRPr="00685C28">
        <w:t>(</w:t>
      </w:r>
      <w:r w:rsidRPr="00685C28">
        <w:t>11%</w:t>
      </w:r>
      <w:r w:rsidR="00D9165E" w:rsidRPr="00685C28">
        <w:t>)</w:t>
      </w:r>
      <w:r w:rsidRPr="00685C28">
        <w:t xml:space="preserve">. Същевременно намаляват разходите за </w:t>
      </w:r>
      <w:r w:rsidRPr="00685C28">
        <w:rPr>
          <w:i/>
        </w:rPr>
        <w:t>поддръжка и рехабилитация на обектите публична държавна собственост</w:t>
      </w:r>
      <w:r w:rsidRPr="00685C28">
        <w:t xml:space="preserve"> с -44 хил.</w:t>
      </w:r>
      <w:r w:rsidR="00BB77A4" w:rsidRPr="00685C28">
        <w:t xml:space="preserve"> </w:t>
      </w:r>
      <w:r w:rsidRPr="00685C28">
        <w:t xml:space="preserve">лв. </w:t>
      </w:r>
      <w:r w:rsidR="00D9165E" w:rsidRPr="00685C28">
        <w:t>(</w:t>
      </w:r>
      <w:r w:rsidRPr="00685C28">
        <w:t>-29%</w:t>
      </w:r>
      <w:r w:rsidR="00D9165E" w:rsidRPr="00685C28">
        <w:t>)</w:t>
      </w:r>
      <w:r w:rsidRPr="00685C28">
        <w:t xml:space="preserve"> и </w:t>
      </w:r>
      <w:r w:rsidRPr="00685C28">
        <w:rPr>
          <w:i/>
        </w:rPr>
        <w:t>реклама</w:t>
      </w:r>
      <w:r w:rsidRPr="00685C28">
        <w:t xml:space="preserve"> с -18 хил.</w:t>
      </w:r>
      <w:r w:rsidR="00BB77A4" w:rsidRPr="00685C28">
        <w:t xml:space="preserve"> </w:t>
      </w:r>
      <w:r w:rsidRPr="00685C28">
        <w:t>лв.</w:t>
      </w:r>
      <w:r w:rsidR="0097342D" w:rsidRPr="00685C28">
        <w:t xml:space="preserve"> (86%).</w:t>
      </w:r>
      <w:r w:rsidR="007E0DC6" w:rsidRPr="00685C28">
        <w:t xml:space="preserve"> </w:t>
      </w:r>
      <w:bookmarkStart w:id="52" w:name="_Hlk34231914"/>
      <w:r w:rsidR="007E0DC6" w:rsidRPr="00685C28">
        <w:t>Останалите изменения в групата са несъществени и не оказват решаващо влияние на разходите</w:t>
      </w:r>
      <w:r w:rsidR="003452DE" w:rsidRPr="00685C28">
        <w:t xml:space="preserve">. </w:t>
      </w:r>
      <w:bookmarkEnd w:id="52"/>
    </w:p>
    <w:p w:rsidR="006F7A0B" w:rsidRPr="005E77C9" w:rsidRDefault="006F7A0B" w:rsidP="00150CC2">
      <w:pPr>
        <w:numPr>
          <w:ilvl w:val="0"/>
          <w:numId w:val="3"/>
        </w:numPr>
        <w:tabs>
          <w:tab w:val="num" w:pos="709"/>
          <w:tab w:val="left" w:pos="1134"/>
        </w:tabs>
        <w:spacing w:after="120"/>
        <w:jc w:val="both"/>
      </w:pPr>
      <w:r w:rsidRPr="005E77C9">
        <w:t>Към края на 201</w:t>
      </w:r>
      <w:r w:rsidR="00B70D63" w:rsidRPr="005E77C9">
        <w:t>9</w:t>
      </w:r>
      <w:r w:rsidRPr="005E77C9">
        <w:t xml:space="preserve"> г. разходите за </w:t>
      </w:r>
      <w:r w:rsidRPr="00685C28">
        <w:rPr>
          <w:b/>
          <w:i/>
        </w:rPr>
        <w:t>амортизации</w:t>
      </w:r>
      <w:r w:rsidRPr="005E77C9">
        <w:rPr>
          <w:b/>
        </w:rPr>
        <w:t xml:space="preserve"> </w:t>
      </w:r>
      <w:r w:rsidRPr="005E77C9">
        <w:t>възлизат на 381 хил.</w:t>
      </w:r>
      <w:r w:rsidR="00BB77A4" w:rsidRPr="005E77C9">
        <w:t xml:space="preserve"> </w:t>
      </w:r>
      <w:r w:rsidRPr="005E77C9">
        <w:t xml:space="preserve">лв., което е с </w:t>
      </w:r>
      <w:r w:rsidRPr="005E77C9">
        <w:rPr>
          <w:lang w:val="en-US"/>
        </w:rPr>
        <w:t>-</w:t>
      </w:r>
      <w:r w:rsidRPr="005E77C9">
        <w:t>12 хил.</w:t>
      </w:r>
      <w:r w:rsidR="00BB77A4" w:rsidRPr="005E77C9">
        <w:t xml:space="preserve"> </w:t>
      </w:r>
      <w:r w:rsidRPr="005E77C9">
        <w:t>лв. по-малко (-3%) спрямо 2018</w:t>
      </w:r>
      <w:r w:rsidRPr="005E77C9">
        <w:rPr>
          <w:lang w:val="en-US"/>
        </w:rPr>
        <w:t xml:space="preserve"> </w:t>
      </w:r>
      <w:r w:rsidRPr="005E77C9">
        <w:t xml:space="preserve">г. Амортизациите се начисляват в съответствие с нормативната уредба и приетата счетоводна политика на дружеството; </w:t>
      </w:r>
    </w:p>
    <w:p w:rsidR="006F7A0B" w:rsidRPr="005E77C9" w:rsidRDefault="006F7A0B" w:rsidP="00150CC2">
      <w:pPr>
        <w:numPr>
          <w:ilvl w:val="0"/>
          <w:numId w:val="3"/>
        </w:numPr>
        <w:tabs>
          <w:tab w:val="num" w:pos="709"/>
          <w:tab w:val="left" w:pos="1134"/>
        </w:tabs>
        <w:spacing w:after="120"/>
        <w:jc w:val="both"/>
      </w:pPr>
      <w:r w:rsidRPr="005E77C9">
        <w:t xml:space="preserve">Начислените </w:t>
      </w:r>
      <w:r w:rsidRPr="00685C28">
        <w:rPr>
          <w:b/>
          <w:i/>
        </w:rPr>
        <w:t>средства за възнаграждения</w:t>
      </w:r>
      <w:r w:rsidRPr="005E77C9">
        <w:t xml:space="preserve"> на персонала през 20</w:t>
      </w:r>
      <w:r w:rsidRPr="005E77C9">
        <w:rPr>
          <w:lang w:val="en-US"/>
        </w:rPr>
        <w:t>1</w:t>
      </w:r>
      <w:r w:rsidRPr="005E77C9">
        <w:t>9</w:t>
      </w:r>
      <w:r w:rsidRPr="005E77C9">
        <w:rPr>
          <w:lang w:val="en-US"/>
        </w:rPr>
        <w:t xml:space="preserve"> </w:t>
      </w:r>
      <w:r w:rsidR="00B70D63" w:rsidRPr="005E77C9">
        <w:t>г. са с 145 хил.</w:t>
      </w:r>
      <w:r w:rsidR="00BB77A4" w:rsidRPr="005E77C9">
        <w:t xml:space="preserve"> </w:t>
      </w:r>
      <w:r w:rsidR="00B70D63" w:rsidRPr="005E77C9">
        <w:t xml:space="preserve">лв. повече </w:t>
      </w:r>
      <w:r w:rsidR="00D9165E" w:rsidRPr="005E77C9">
        <w:t>(</w:t>
      </w:r>
      <w:r w:rsidRPr="005E77C9">
        <w:t>8%</w:t>
      </w:r>
      <w:r w:rsidR="00D9165E" w:rsidRPr="005E77C9">
        <w:t>)</w:t>
      </w:r>
      <w:r w:rsidR="00B70D63" w:rsidRPr="005E77C9">
        <w:t xml:space="preserve"> </w:t>
      </w:r>
      <w:r w:rsidRPr="005E77C9">
        <w:t>спрямо 2018</w:t>
      </w:r>
      <w:r w:rsidRPr="005E77C9">
        <w:rPr>
          <w:lang w:val="en-US"/>
        </w:rPr>
        <w:t xml:space="preserve"> </w:t>
      </w:r>
      <w:r w:rsidRPr="005E77C9">
        <w:t>г;</w:t>
      </w:r>
    </w:p>
    <w:p w:rsidR="003452DE" w:rsidRDefault="006F7A0B" w:rsidP="00150CC2">
      <w:pPr>
        <w:numPr>
          <w:ilvl w:val="0"/>
          <w:numId w:val="3"/>
        </w:numPr>
        <w:tabs>
          <w:tab w:val="num" w:pos="709"/>
          <w:tab w:val="left" w:pos="851"/>
        </w:tabs>
        <w:spacing w:after="120"/>
        <w:jc w:val="both"/>
      </w:pPr>
      <w:r w:rsidRPr="005E77C9">
        <w:t>Разходите за</w:t>
      </w:r>
      <w:r w:rsidRPr="005E77C9">
        <w:rPr>
          <w:b/>
        </w:rPr>
        <w:t xml:space="preserve"> </w:t>
      </w:r>
      <w:r w:rsidRPr="00685C28">
        <w:rPr>
          <w:b/>
          <w:i/>
        </w:rPr>
        <w:t>осигуровки и надбавки</w:t>
      </w:r>
      <w:r w:rsidRPr="005E77C9">
        <w:rPr>
          <w:b/>
        </w:rPr>
        <w:t xml:space="preserve"> </w:t>
      </w:r>
      <w:r w:rsidRPr="005E77C9">
        <w:t>за 2019</w:t>
      </w:r>
      <w:r w:rsidRPr="005E77C9">
        <w:rPr>
          <w:lang w:val="en-US"/>
        </w:rPr>
        <w:t xml:space="preserve"> </w:t>
      </w:r>
      <w:r w:rsidRPr="005E77C9">
        <w:t>г. са</w:t>
      </w:r>
      <w:r w:rsidRPr="005E77C9">
        <w:rPr>
          <w:b/>
        </w:rPr>
        <w:t xml:space="preserve"> </w:t>
      </w:r>
      <w:r w:rsidRPr="005E77C9">
        <w:t>с -15 хил.</w:t>
      </w:r>
      <w:r w:rsidR="00BB77A4" w:rsidRPr="005E77C9">
        <w:t xml:space="preserve"> </w:t>
      </w:r>
      <w:r w:rsidRPr="005E77C9">
        <w:t xml:space="preserve">лв. по-малко </w:t>
      </w:r>
      <w:r w:rsidR="00D9165E" w:rsidRPr="005E77C9">
        <w:t>(</w:t>
      </w:r>
      <w:r w:rsidRPr="005E77C9">
        <w:t>-1,7%</w:t>
      </w:r>
      <w:r w:rsidR="00D9165E" w:rsidRPr="005E77C9">
        <w:t>)</w:t>
      </w:r>
      <w:r w:rsidRPr="005E77C9">
        <w:t xml:space="preserve"> спрямо предходната година. Те са съобразени с изискванията на законодателството и подписания КТД</w:t>
      </w:r>
      <w:r w:rsidR="003452DE" w:rsidRPr="005E77C9">
        <w:t xml:space="preserve">. </w:t>
      </w:r>
    </w:p>
    <w:p w:rsidR="00545A61" w:rsidRDefault="00545A61" w:rsidP="00545A61">
      <w:pPr>
        <w:tabs>
          <w:tab w:val="num" w:pos="709"/>
          <w:tab w:val="left" w:pos="851"/>
        </w:tabs>
        <w:spacing w:after="120"/>
        <w:jc w:val="both"/>
      </w:pPr>
    </w:p>
    <w:tbl>
      <w:tblPr>
        <w:tblW w:w="8051" w:type="dxa"/>
        <w:jc w:val="center"/>
        <w:tblLayout w:type="fixed"/>
        <w:tblCellMar>
          <w:left w:w="70" w:type="dxa"/>
          <w:right w:w="70" w:type="dxa"/>
        </w:tblCellMar>
        <w:tblLook w:val="0000" w:firstRow="0" w:lastRow="0" w:firstColumn="0" w:lastColumn="0" w:noHBand="0" w:noVBand="0"/>
      </w:tblPr>
      <w:tblGrid>
        <w:gridCol w:w="4523"/>
        <w:gridCol w:w="1141"/>
        <w:gridCol w:w="1211"/>
        <w:gridCol w:w="1176"/>
      </w:tblGrid>
      <w:tr w:rsidR="00DF25C9" w:rsidRPr="005E77C9">
        <w:trPr>
          <w:trHeight w:val="511"/>
          <w:jc w:val="center"/>
        </w:trPr>
        <w:tc>
          <w:tcPr>
            <w:tcW w:w="4523" w:type="dxa"/>
            <w:vMerge w:val="restart"/>
            <w:tcBorders>
              <w:top w:val="single" w:sz="4" w:space="0" w:color="auto"/>
              <w:left w:val="single" w:sz="4" w:space="0" w:color="auto"/>
              <w:right w:val="single" w:sz="4" w:space="0" w:color="auto"/>
            </w:tcBorders>
            <w:vAlign w:val="center"/>
          </w:tcPr>
          <w:p w:rsidR="00DF25C9" w:rsidRPr="00545A61" w:rsidRDefault="00DF25C9" w:rsidP="00B368E7">
            <w:pPr>
              <w:jc w:val="center"/>
              <w:rPr>
                <w:rFonts w:ascii="Arial" w:hAnsi="Arial" w:cs="Arial"/>
                <w:sz w:val="20"/>
                <w:szCs w:val="20"/>
              </w:rPr>
            </w:pPr>
            <w:r w:rsidRPr="00545A61">
              <w:rPr>
                <w:rFonts w:ascii="Arial" w:hAnsi="Arial" w:cs="Arial"/>
                <w:b/>
                <w:sz w:val="20"/>
                <w:szCs w:val="20"/>
              </w:rPr>
              <w:lastRenderedPageBreak/>
              <w:t>Вид на разхода</w:t>
            </w:r>
          </w:p>
        </w:tc>
        <w:tc>
          <w:tcPr>
            <w:tcW w:w="3528" w:type="dxa"/>
            <w:gridSpan w:val="3"/>
            <w:tcBorders>
              <w:top w:val="single" w:sz="4" w:space="0" w:color="auto"/>
              <w:left w:val="nil"/>
              <w:right w:val="single" w:sz="4" w:space="0" w:color="auto"/>
            </w:tcBorders>
            <w:vAlign w:val="center"/>
          </w:tcPr>
          <w:p w:rsidR="00DF25C9" w:rsidRPr="00545A61" w:rsidRDefault="00DF25C9" w:rsidP="00B70D63">
            <w:pPr>
              <w:jc w:val="center"/>
              <w:rPr>
                <w:rFonts w:ascii="Arial" w:hAnsi="Arial" w:cs="Arial"/>
                <w:b/>
                <w:snapToGrid w:val="0"/>
                <w:color w:val="000000"/>
                <w:sz w:val="20"/>
                <w:szCs w:val="20"/>
                <w:lang w:eastAsia="en-US"/>
              </w:rPr>
            </w:pPr>
            <w:r w:rsidRPr="00545A61">
              <w:rPr>
                <w:rFonts w:ascii="Arial" w:hAnsi="Arial" w:cs="Arial"/>
                <w:b/>
                <w:sz w:val="20"/>
                <w:szCs w:val="20"/>
              </w:rPr>
              <w:t>20</w:t>
            </w:r>
            <w:r w:rsidR="00513989" w:rsidRPr="00545A61">
              <w:rPr>
                <w:rFonts w:ascii="Arial" w:hAnsi="Arial" w:cs="Arial"/>
                <w:b/>
                <w:sz w:val="20"/>
                <w:szCs w:val="20"/>
              </w:rPr>
              <w:t>1</w:t>
            </w:r>
            <w:r w:rsidR="00B70D63" w:rsidRPr="00545A61">
              <w:rPr>
                <w:rFonts w:ascii="Arial" w:hAnsi="Arial" w:cs="Arial"/>
                <w:b/>
                <w:sz w:val="20"/>
                <w:szCs w:val="20"/>
              </w:rPr>
              <w:t>9</w:t>
            </w:r>
            <w:r w:rsidR="00017ACD" w:rsidRPr="00545A61">
              <w:rPr>
                <w:rFonts w:ascii="Arial" w:hAnsi="Arial" w:cs="Arial"/>
                <w:b/>
                <w:sz w:val="20"/>
                <w:szCs w:val="20"/>
              </w:rPr>
              <w:t xml:space="preserve"> </w:t>
            </w:r>
            <w:r w:rsidRPr="00545A61">
              <w:rPr>
                <w:rFonts w:ascii="Arial" w:hAnsi="Arial" w:cs="Arial"/>
                <w:b/>
                <w:sz w:val="20"/>
                <w:szCs w:val="20"/>
              </w:rPr>
              <w:t>г.</w:t>
            </w:r>
            <w:r w:rsidR="003E48DE" w:rsidRPr="00545A61">
              <w:rPr>
                <w:rFonts w:ascii="Arial" w:hAnsi="Arial" w:cs="Arial"/>
                <w:b/>
                <w:sz w:val="20"/>
                <w:szCs w:val="20"/>
              </w:rPr>
              <w:t xml:space="preserve"> (в лева)</w:t>
            </w:r>
          </w:p>
        </w:tc>
      </w:tr>
      <w:tr w:rsidR="00DF25C9" w:rsidRPr="005E77C9" w:rsidTr="008438C4">
        <w:trPr>
          <w:trHeight w:val="527"/>
          <w:jc w:val="center"/>
        </w:trPr>
        <w:tc>
          <w:tcPr>
            <w:tcW w:w="4523" w:type="dxa"/>
            <w:vMerge/>
            <w:tcBorders>
              <w:left w:val="single" w:sz="4" w:space="0" w:color="auto"/>
              <w:right w:val="single" w:sz="4" w:space="0" w:color="auto"/>
            </w:tcBorders>
            <w:vAlign w:val="center"/>
          </w:tcPr>
          <w:p w:rsidR="00DF25C9" w:rsidRPr="00545A61" w:rsidRDefault="00DF25C9" w:rsidP="003A785D">
            <w:pPr>
              <w:pStyle w:val="Heading2"/>
              <w:rPr>
                <w:rFonts w:cs="Arial"/>
                <w:b w:val="0"/>
                <w:szCs w:val="20"/>
              </w:rPr>
            </w:pPr>
          </w:p>
        </w:tc>
        <w:tc>
          <w:tcPr>
            <w:tcW w:w="1141" w:type="dxa"/>
            <w:tcBorders>
              <w:top w:val="single" w:sz="4" w:space="0" w:color="auto"/>
              <w:left w:val="nil"/>
              <w:right w:val="single" w:sz="4" w:space="0" w:color="auto"/>
            </w:tcBorders>
            <w:vAlign w:val="center"/>
          </w:tcPr>
          <w:p w:rsidR="00DF25C9" w:rsidRPr="00545A61" w:rsidRDefault="00DF25C9" w:rsidP="003A785D">
            <w:pPr>
              <w:jc w:val="center"/>
              <w:rPr>
                <w:rFonts w:ascii="Arial" w:hAnsi="Arial" w:cs="Arial"/>
                <w:i/>
                <w:snapToGrid w:val="0"/>
                <w:color w:val="000000"/>
                <w:sz w:val="20"/>
                <w:szCs w:val="20"/>
                <w:lang w:eastAsia="en-US"/>
              </w:rPr>
            </w:pPr>
            <w:r w:rsidRPr="00545A61">
              <w:rPr>
                <w:rFonts w:ascii="Arial" w:hAnsi="Arial" w:cs="Arial"/>
                <w:i/>
                <w:snapToGrid w:val="0"/>
                <w:color w:val="000000"/>
                <w:sz w:val="20"/>
                <w:szCs w:val="20"/>
                <w:lang w:eastAsia="en-US"/>
              </w:rPr>
              <w:t>Плащане</w:t>
            </w:r>
          </w:p>
        </w:tc>
        <w:tc>
          <w:tcPr>
            <w:tcW w:w="1211" w:type="dxa"/>
            <w:tcBorders>
              <w:top w:val="single" w:sz="4" w:space="0" w:color="auto"/>
              <w:left w:val="nil"/>
              <w:bottom w:val="single" w:sz="4" w:space="0" w:color="auto"/>
              <w:right w:val="single" w:sz="4" w:space="0" w:color="auto"/>
            </w:tcBorders>
            <w:vAlign w:val="center"/>
          </w:tcPr>
          <w:p w:rsidR="00DF25C9" w:rsidRPr="00545A61" w:rsidRDefault="00DF25C9" w:rsidP="003E48DE">
            <w:pPr>
              <w:jc w:val="center"/>
              <w:rPr>
                <w:rFonts w:ascii="Arial" w:hAnsi="Arial" w:cs="Arial"/>
                <w:i/>
                <w:snapToGrid w:val="0"/>
                <w:color w:val="000000"/>
                <w:sz w:val="20"/>
                <w:szCs w:val="20"/>
                <w:lang w:eastAsia="en-US"/>
              </w:rPr>
            </w:pPr>
            <w:r w:rsidRPr="00545A61">
              <w:rPr>
                <w:rFonts w:ascii="Arial" w:hAnsi="Arial" w:cs="Arial"/>
                <w:i/>
                <w:snapToGrid w:val="0"/>
                <w:color w:val="000000"/>
                <w:sz w:val="20"/>
                <w:szCs w:val="20"/>
                <w:lang w:eastAsia="en-US"/>
              </w:rPr>
              <w:t>Сума</w:t>
            </w:r>
          </w:p>
        </w:tc>
        <w:tc>
          <w:tcPr>
            <w:tcW w:w="1176" w:type="dxa"/>
            <w:tcBorders>
              <w:top w:val="single" w:sz="4" w:space="0" w:color="auto"/>
              <w:left w:val="nil"/>
              <w:bottom w:val="single" w:sz="4" w:space="0" w:color="auto"/>
              <w:right w:val="single" w:sz="4" w:space="0" w:color="auto"/>
            </w:tcBorders>
            <w:vAlign w:val="center"/>
          </w:tcPr>
          <w:p w:rsidR="00DF25C9" w:rsidRPr="00545A61" w:rsidRDefault="00DF25C9" w:rsidP="003A785D">
            <w:pPr>
              <w:jc w:val="center"/>
              <w:rPr>
                <w:rFonts w:ascii="Arial" w:hAnsi="Arial" w:cs="Arial"/>
                <w:i/>
                <w:snapToGrid w:val="0"/>
                <w:color w:val="000000"/>
                <w:sz w:val="20"/>
                <w:szCs w:val="20"/>
                <w:lang w:val="en-US" w:eastAsia="en-US"/>
              </w:rPr>
            </w:pPr>
            <w:r w:rsidRPr="00545A61">
              <w:rPr>
                <w:rFonts w:ascii="Arial" w:hAnsi="Arial" w:cs="Arial"/>
                <w:i/>
                <w:snapToGrid w:val="0"/>
                <w:color w:val="000000"/>
                <w:sz w:val="20"/>
                <w:szCs w:val="20"/>
                <w:lang w:val="ru-RU" w:eastAsia="en-US"/>
              </w:rPr>
              <w:t xml:space="preserve">Средно на </w:t>
            </w:r>
            <w:r w:rsidRPr="00545A61">
              <w:rPr>
                <w:rFonts w:ascii="Arial" w:hAnsi="Arial" w:cs="Arial"/>
                <w:i/>
                <w:snapToGrid w:val="0"/>
                <w:color w:val="000000"/>
                <w:sz w:val="20"/>
                <w:szCs w:val="20"/>
                <w:lang w:eastAsia="en-US"/>
              </w:rPr>
              <w:t>1</w:t>
            </w:r>
            <w:r w:rsidRPr="00545A61">
              <w:rPr>
                <w:rFonts w:ascii="Arial" w:hAnsi="Arial" w:cs="Arial"/>
                <w:i/>
                <w:snapToGrid w:val="0"/>
                <w:color w:val="000000"/>
                <w:sz w:val="20"/>
                <w:szCs w:val="20"/>
                <w:lang w:val="ru-RU" w:eastAsia="en-US"/>
              </w:rPr>
              <w:t xml:space="preserve"> лице</w:t>
            </w:r>
          </w:p>
        </w:tc>
      </w:tr>
      <w:tr w:rsidR="00D4625C" w:rsidRPr="005E77C9" w:rsidTr="00135F12">
        <w:trPr>
          <w:trHeight w:val="293"/>
          <w:jc w:val="center"/>
        </w:trPr>
        <w:tc>
          <w:tcPr>
            <w:tcW w:w="4523" w:type="dxa"/>
            <w:tcBorders>
              <w:top w:val="single" w:sz="4" w:space="0" w:color="auto"/>
              <w:left w:val="single" w:sz="4" w:space="0" w:color="auto"/>
              <w:bottom w:val="single" w:sz="4" w:space="0" w:color="auto"/>
              <w:right w:val="nil"/>
            </w:tcBorders>
            <w:vAlign w:val="bottom"/>
          </w:tcPr>
          <w:p w:rsidR="00D4625C" w:rsidRPr="00545A61" w:rsidRDefault="00D4625C" w:rsidP="00D4625C">
            <w:pPr>
              <w:rPr>
                <w:rFonts w:ascii="Arial" w:hAnsi="Arial" w:cs="Arial"/>
                <w:sz w:val="20"/>
                <w:szCs w:val="20"/>
              </w:rPr>
            </w:pPr>
            <w:r w:rsidRPr="00545A61">
              <w:rPr>
                <w:rFonts w:ascii="Arial" w:hAnsi="Arial" w:cs="Arial"/>
                <w:sz w:val="20"/>
                <w:szCs w:val="20"/>
              </w:rPr>
              <w:t>Храна</w:t>
            </w:r>
          </w:p>
        </w:tc>
        <w:tc>
          <w:tcPr>
            <w:tcW w:w="1141" w:type="dxa"/>
            <w:tcBorders>
              <w:top w:val="single" w:sz="4" w:space="0" w:color="auto"/>
              <w:left w:val="single" w:sz="4" w:space="0" w:color="auto"/>
              <w:bottom w:val="single" w:sz="4" w:space="0" w:color="auto"/>
              <w:right w:val="single" w:sz="4" w:space="0" w:color="auto"/>
            </w:tcBorders>
            <w:vAlign w:val="bottom"/>
          </w:tcPr>
          <w:p w:rsidR="00D4625C" w:rsidRPr="00545A61" w:rsidRDefault="00D4625C" w:rsidP="00D4625C">
            <w:pPr>
              <w:jc w:val="center"/>
              <w:rPr>
                <w:rFonts w:ascii="Arial" w:hAnsi="Arial" w:cs="Arial"/>
                <w:snapToGrid w:val="0"/>
                <w:color w:val="000000"/>
                <w:sz w:val="20"/>
                <w:szCs w:val="20"/>
                <w:lang w:val="en-US" w:eastAsia="en-US"/>
              </w:rPr>
            </w:pPr>
            <w:r w:rsidRPr="00545A61">
              <w:rPr>
                <w:rFonts w:ascii="Arial" w:hAnsi="Arial" w:cs="Arial"/>
                <w:snapToGrid w:val="0"/>
                <w:color w:val="000000"/>
                <w:sz w:val="20"/>
                <w:szCs w:val="20"/>
                <w:lang w:val="en-US" w:eastAsia="en-US"/>
              </w:rPr>
              <w:t>в брой</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bottom"/>
          </w:tcPr>
          <w:p w:rsidR="00D4625C" w:rsidRPr="00545A61" w:rsidRDefault="00D4625C" w:rsidP="00D4625C">
            <w:pPr>
              <w:jc w:val="right"/>
              <w:rPr>
                <w:rFonts w:ascii="Arial" w:hAnsi="Arial" w:cs="Arial"/>
                <w:sz w:val="20"/>
                <w:szCs w:val="20"/>
              </w:rPr>
            </w:pPr>
            <w:r w:rsidRPr="00545A61">
              <w:rPr>
                <w:rFonts w:ascii="Arial" w:hAnsi="Arial" w:cs="Arial"/>
                <w:sz w:val="20"/>
                <w:szCs w:val="20"/>
              </w:rPr>
              <w:t>288 315</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D4625C" w:rsidRPr="00545A61" w:rsidRDefault="00D4625C" w:rsidP="00D4625C">
            <w:pPr>
              <w:jc w:val="right"/>
              <w:rPr>
                <w:rFonts w:ascii="Arial" w:hAnsi="Arial" w:cs="Arial"/>
                <w:sz w:val="20"/>
                <w:szCs w:val="20"/>
              </w:rPr>
            </w:pPr>
            <w:r w:rsidRPr="00545A61">
              <w:rPr>
                <w:rFonts w:ascii="Arial" w:hAnsi="Arial" w:cs="Arial"/>
                <w:sz w:val="20"/>
                <w:szCs w:val="20"/>
              </w:rPr>
              <w:t>2 363.24</w:t>
            </w:r>
          </w:p>
        </w:tc>
      </w:tr>
      <w:tr w:rsidR="00D4625C" w:rsidRPr="005E77C9" w:rsidTr="00135F12">
        <w:trPr>
          <w:trHeight w:val="293"/>
          <w:jc w:val="center"/>
        </w:trPr>
        <w:tc>
          <w:tcPr>
            <w:tcW w:w="4523" w:type="dxa"/>
            <w:tcBorders>
              <w:top w:val="single" w:sz="4" w:space="0" w:color="auto"/>
              <w:left w:val="single" w:sz="4" w:space="0" w:color="auto"/>
              <w:bottom w:val="single" w:sz="4" w:space="0" w:color="auto"/>
              <w:right w:val="nil"/>
            </w:tcBorders>
            <w:vAlign w:val="bottom"/>
          </w:tcPr>
          <w:p w:rsidR="00D4625C" w:rsidRPr="00545A61" w:rsidRDefault="00D4625C" w:rsidP="00D4625C">
            <w:pPr>
              <w:rPr>
                <w:rFonts w:ascii="Arial" w:hAnsi="Arial" w:cs="Arial"/>
                <w:sz w:val="20"/>
                <w:szCs w:val="20"/>
              </w:rPr>
            </w:pPr>
            <w:r w:rsidRPr="00545A61">
              <w:rPr>
                <w:rFonts w:ascii="Arial" w:hAnsi="Arial" w:cs="Arial"/>
                <w:sz w:val="20"/>
                <w:szCs w:val="20"/>
              </w:rPr>
              <w:t>Помощи</w:t>
            </w:r>
          </w:p>
        </w:tc>
        <w:tc>
          <w:tcPr>
            <w:tcW w:w="1141" w:type="dxa"/>
            <w:tcBorders>
              <w:top w:val="single" w:sz="4" w:space="0" w:color="auto"/>
              <w:left w:val="single" w:sz="4" w:space="0" w:color="auto"/>
              <w:bottom w:val="single" w:sz="4" w:space="0" w:color="auto"/>
              <w:right w:val="single" w:sz="4" w:space="0" w:color="auto"/>
            </w:tcBorders>
            <w:vAlign w:val="bottom"/>
          </w:tcPr>
          <w:p w:rsidR="00D4625C" w:rsidRPr="00545A61" w:rsidRDefault="00D4625C" w:rsidP="00D4625C">
            <w:pPr>
              <w:jc w:val="center"/>
              <w:rPr>
                <w:rFonts w:ascii="Arial" w:hAnsi="Arial" w:cs="Arial"/>
                <w:snapToGrid w:val="0"/>
                <w:color w:val="000000"/>
                <w:sz w:val="20"/>
                <w:szCs w:val="20"/>
                <w:lang w:val="en-US" w:eastAsia="en-US"/>
              </w:rPr>
            </w:pPr>
            <w:r w:rsidRPr="00545A61">
              <w:rPr>
                <w:rFonts w:ascii="Arial" w:hAnsi="Arial" w:cs="Arial"/>
                <w:snapToGrid w:val="0"/>
                <w:color w:val="000000"/>
                <w:sz w:val="20"/>
                <w:szCs w:val="20"/>
                <w:lang w:val="en-US" w:eastAsia="en-US"/>
              </w:rPr>
              <w:t>в брой</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bottom"/>
          </w:tcPr>
          <w:p w:rsidR="00D4625C" w:rsidRPr="00545A61" w:rsidRDefault="00D4625C" w:rsidP="00D4625C">
            <w:pPr>
              <w:jc w:val="right"/>
              <w:rPr>
                <w:rFonts w:ascii="Arial" w:hAnsi="Arial" w:cs="Arial"/>
                <w:sz w:val="20"/>
                <w:szCs w:val="20"/>
              </w:rPr>
            </w:pPr>
            <w:r w:rsidRPr="00545A61">
              <w:rPr>
                <w:rFonts w:ascii="Arial" w:hAnsi="Arial" w:cs="Arial"/>
                <w:sz w:val="20"/>
                <w:szCs w:val="20"/>
              </w:rPr>
              <w:t>3 286</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D4625C" w:rsidRPr="00545A61" w:rsidRDefault="00D4625C" w:rsidP="00D4625C">
            <w:pPr>
              <w:jc w:val="right"/>
              <w:rPr>
                <w:rFonts w:ascii="Arial" w:hAnsi="Arial" w:cs="Arial"/>
                <w:sz w:val="20"/>
                <w:szCs w:val="20"/>
              </w:rPr>
            </w:pPr>
            <w:r w:rsidRPr="00545A61">
              <w:rPr>
                <w:rFonts w:ascii="Arial" w:hAnsi="Arial" w:cs="Arial"/>
                <w:sz w:val="20"/>
                <w:szCs w:val="20"/>
              </w:rPr>
              <w:t>26.93</w:t>
            </w:r>
          </w:p>
        </w:tc>
      </w:tr>
      <w:tr w:rsidR="00D4625C" w:rsidRPr="005E77C9" w:rsidTr="00135F12">
        <w:trPr>
          <w:trHeight w:val="293"/>
          <w:jc w:val="center"/>
        </w:trPr>
        <w:tc>
          <w:tcPr>
            <w:tcW w:w="4523" w:type="dxa"/>
            <w:tcBorders>
              <w:top w:val="single" w:sz="4" w:space="0" w:color="auto"/>
              <w:left w:val="single" w:sz="4" w:space="0" w:color="auto"/>
              <w:bottom w:val="single" w:sz="4" w:space="0" w:color="auto"/>
              <w:right w:val="nil"/>
            </w:tcBorders>
            <w:vAlign w:val="bottom"/>
          </w:tcPr>
          <w:p w:rsidR="00D4625C" w:rsidRPr="00545A61" w:rsidRDefault="00D4625C" w:rsidP="00D4625C">
            <w:pPr>
              <w:rPr>
                <w:rFonts w:ascii="Arial" w:hAnsi="Arial" w:cs="Arial"/>
                <w:sz w:val="20"/>
                <w:szCs w:val="20"/>
              </w:rPr>
            </w:pPr>
            <w:r w:rsidRPr="00545A61">
              <w:rPr>
                <w:rFonts w:ascii="Arial" w:hAnsi="Arial" w:cs="Arial"/>
                <w:sz w:val="20"/>
                <w:szCs w:val="20"/>
              </w:rPr>
              <w:t>Издръжка на бази за отдих, физкултура, спорт, туризъм, културни занимания, и др.</w:t>
            </w:r>
          </w:p>
        </w:tc>
        <w:tc>
          <w:tcPr>
            <w:tcW w:w="1141" w:type="dxa"/>
            <w:tcBorders>
              <w:top w:val="single" w:sz="4" w:space="0" w:color="auto"/>
              <w:left w:val="single" w:sz="4" w:space="0" w:color="auto"/>
              <w:bottom w:val="single" w:sz="4" w:space="0" w:color="auto"/>
              <w:right w:val="single" w:sz="4" w:space="0" w:color="auto"/>
            </w:tcBorders>
            <w:vAlign w:val="bottom"/>
          </w:tcPr>
          <w:p w:rsidR="00D4625C" w:rsidRPr="00545A61" w:rsidRDefault="00D4625C" w:rsidP="00D4625C">
            <w:pPr>
              <w:jc w:val="center"/>
              <w:rPr>
                <w:rFonts w:ascii="Arial" w:hAnsi="Arial" w:cs="Arial"/>
                <w:snapToGrid w:val="0"/>
                <w:color w:val="000000"/>
                <w:sz w:val="20"/>
                <w:szCs w:val="20"/>
                <w:lang w:eastAsia="en-US"/>
              </w:rPr>
            </w:pPr>
          </w:p>
        </w:tc>
        <w:tc>
          <w:tcPr>
            <w:tcW w:w="1211" w:type="dxa"/>
            <w:tcBorders>
              <w:top w:val="single" w:sz="4" w:space="0" w:color="auto"/>
              <w:left w:val="single" w:sz="4" w:space="0" w:color="auto"/>
              <w:bottom w:val="single" w:sz="4" w:space="0" w:color="auto"/>
              <w:right w:val="single" w:sz="4" w:space="0" w:color="auto"/>
            </w:tcBorders>
            <w:shd w:val="clear" w:color="auto" w:fill="auto"/>
            <w:vAlign w:val="bottom"/>
          </w:tcPr>
          <w:p w:rsidR="00D4625C" w:rsidRPr="00545A61" w:rsidRDefault="00D4625C" w:rsidP="00D4625C">
            <w:pPr>
              <w:jc w:val="right"/>
              <w:rPr>
                <w:rFonts w:ascii="Arial" w:hAnsi="Arial" w:cs="Arial"/>
                <w:sz w:val="20"/>
                <w:szCs w:val="20"/>
              </w:rPr>
            </w:pPr>
            <w:r w:rsidRPr="00545A61">
              <w:rPr>
                <w:rFonts w:ascii="Arial" w:hAnsi="Arial" w:cs="Arial"/>
                <w:sz w:val="20"/>
                <w:szCs w:val="20"/>
              </w:rPr>
              <w:t>720</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D4625C" w:rsidRPr="00545A61" w:rsidRDefault="00D4625C" w:rsidP="00D4625C">
            <w:pPr>
              <w:jc w:val="right"/>
              <w:rPr>
                <w:rFonts w:ascii="Arial" w:hAnsi="Arial" w:cs="Arial"/>
                <w:sz w:val="20"/>
                <w:szCs w:val="20"/>
              </w:rPr>
            </w:pPr>
            <w:r w:rsidRPr="00545A61">
              <w:rPr>
                <w:rFonts w:ascii="Arial" w:hAnsi="Arial" w:cs="Arial"/>
                <w:sz w:val="20"/>
                <w:szCs w:val="20"/>
              </w:rPr>
              <w:t>5.90</w:t>
            </w:r>
          </w:p>
        </w:tc>
      </w:tr>
      <w:tr w:rsidR="00D4625C" w:rsidRPr="005E77C9" w:rsidTr="00135F12">
        <w:trPr>
          <w:trHeight w:val="293"/>
          <w:jc w:val="center"/>
        </w:trPr>
        <w:tc>
          <w:tcPr>
            <w:tcW w:w="4523" w:type="dxa"/>
            <w:tcBorders>
              <w:top w:val="single" w:sz="4" w:space="0" w:color="auto"/>
              <w:left w:val="single" w:sz="4" w:space="0" w:color="auto"/>
              <w:bottom w:val="single" w:sz="4" w:space="0" w:color="auto"/>
              <w:right w:val="nil"/>
            </w:tcBorders>
            <w:vAlign w:val="bottom"/>
          </w:tcPr>
          <w:p w:rsidR="00D4625C" w:rsidRPr="00545A61" w:rsidRDefault="00D4625C" w:rsidP="00D4625C">
            <w:pPr>
              <w:rPr>
                <w:rFonts w:ascii="Arial" w:hAnsi="Arial" w:cs="Arial"/>
                <w:sz w:val="20"/>
                <w:szCs w:val="20"/>
              </w:rPr>
            </w:pPr>
            <w:r w:rsidRPr="00545A61">
              <w:rPr>
                <w:rFonts w:ascii="Arial" w:hAnsi="Arial" w:cs="Arial"/>
                <w:sz w:val="20"/>
                <w:szCs w:val="20"/>
              </w:rPr>
              <w:t>Еднократни плащания</w:t>
            </w:r>
          </w:p>
        </w:tc>
        <w:tc>
          <w:tcPr>
            <w:tcW w:w="1141" w:type="dxa"/>
            <w:tcBorders>
              <w:top w:val="single" w:sz="4" w:space="0" w:color="auto"/>
              <w:left w:val="single" w:sz="4" w:space="0" w:color="auto"/>
              <w:bottom w:val="single" w:sz="4" w:space="0" w:color="auto"/>
              <w:right w:val="single" w:sz="4" w:space="0" w:color="auto"/>
            </w:tcBorders>
            <w:vAlign w:val="bottom"/>
          </w:tcPr>
          <w:p w:rsidR="00D4625C" w:rsidRPr="00545A61" w:rsidRDefault="00D4625C" w:rsidP="00D4625C">
            <w:pPr>
              <w:jc w:val="center"/>
              <w:rPr>
                <w:rFonts w:ascii="Arial" w:hAnsi="Arial" w:cs="Arial"/>
                <w:snapToGrid w:val="0"/>
                <w:color w:val="000000"/>
                <w:sz w:val="20"/>
                <w:szCs w:val="20"/>
                <w:lang w:eastAsia="en-US"/>
              </w:rPr>
            </w:pPr>
          </w:p>
        </w:tc>
        <w:tc>
          <w:tcPr>
            <w:tcW w:w="1211" w:type="dxa"/>
            <w:tcBorders>
              <w:top w:val="single" w:sz="4" w:space="0" w:color="auto"/>
              <w:left w:val="single" w:sz="4" w:space="0" w:color="auto"/>
              <w:bottom w:val="single" w:sz="4" w:space="0" w:color="auto"/>
              <w:right w:val="single" w:sz="4" w:space="0" w:color="auto"/>
            </w:tcBorders>
            <w:shd w:val="clear" w:color="auto" w:fill="auto"/>
            <w:vAlign w:val="bottom"/>
          </w:tcPr>
          <w:p w:rsidR="00D4625C" w:rsidRPr="00545A61" w:rsidRDefault="00D4625C" w:rsidP="00D4625C">
            <w:pPr>
              <w:jc w:val="right"/>
              <w:rPr>
                <w:rFonts w:ascii="Arial" w:hAnsi="Arial" w:cs="Arial"/>
                <w:sz w:val="20"/>
                <w:szCs w:val="20"/>
              </w:rPr>
            </w:pPr>
            <w:r w:rsidRPr="00545A61">
              <w:rPr>
                <w:rFonts w:ascii="Arial" w:hAnsi="Arial" w:cs="Arial"/>
                <w:sz w:val="20"/>
                <w:szCs w:val="20"/>
              </w:rPr>
              <w:t>27 373</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D4625C" w:rsidRPr="00545A61" w:rsidRDefault="00D4625C" w:rsidP="00D4625C">
            <w:pPr>
              <w:jc w:val="right"/>
              <w:rPr>
                <w:rFonts w:ascii="Arial" w:hAnsi="Arial" w:cs="Arial"/>
                <w:sz w:val="20"/>
                <w:szCs w:val="20"/>
              </w:rPr>
            </w:pPr>
            <w:r w:rsidRPr="00545A61">
              <w:rPr>
                <w:rFonts w:ascii="Arial" w:hAnsi="Arial" w:cs="Arial"/>
                <w:sz w:val="20"/>
                <w:szCs w:val="20"/>
              </w:rPr>
              <w:t>224.37</w:t>
            </w:r>
          </w:p>
        </w:tc>
      </w:tr>
      <w:tr w:rsidR="00D4625C" w:rsidRPr="005E77C9" w:rsidTr="00135F12">
        <w:trPr>
          <w:trHeight w:val="293"/>
          <w:jc w:val="center"/>
        </w:trPr>
        <w:tc>
          <w:tcPr>
            <w:tcW w:w="4523" w:type="dxa"/>
            <w:tcBorders>
              <w:top w:val="single" w:sz="4" w:space="0" w:color="auto"/>
              <w:left w:val="single" w:sz="4" w:space="0" w:color="auto"/>
              <w:bottom w:val="single" w:sz="4" w:space="0" w:color="auto"/>
              <w:right w:val="nil"/>
            </w:tcBorders>
            <w:vAlign w:val="bottom"/>
          </w:tcPr>
          <w:p w:rsidR="00D4625C" w:rsidRPr="00545A61" w:rsidRDefault="00D4625C" w:rsidP="00D4625C">
            <w:pPr>
              <w:rPr>
                <w:rFonts w:ascii="Arial" w:hAnsi="Arial" w:cs="Arial"/>
                <w:sz w:val="20"/>
                <w:szCs w:val="20"/>
              </w:rPr>
            </w:pPr>
            <w:r w:rsidRPr="00545A61">
              <w:rPr>
                <w:rFonts w:ascii="Arial" w:hAnsi="Arial" w:cs="Arial"/>
                <w:sz w:val="20"/>
                <w:szCs w:val="20"/>
              </w:rPr>
              <w:t>Други</w:t>
            </w:r>
          </w:p>
        </w:tc>
        <w:tc>
          <w:tcPr>
            <w:tcW w:w="1141" w:type="dxa"/>
            <w:tcBorders>
              <w:top w:val="single" w:sz="4" w:space="0" w:color="auto"/>
              <w:left w:val="single" w:sz="4" w:space="0" w:color="auto"/>
              <w:bottom w:val="single" w:sz="4" w:space="0" w:color="auto"/>
              <w:right w:val="single" w:sz="4" w:space="0" w:color="auto"/>
            </w:tcBorders>
            <w:vAlign w:val="bottom"/>
          </w:tcPr>
          <w:p w:rsidR="00D4625C" w:rsidRPr="00545A61" w:rsidRDefault="00D4625C" w:rsidP="00D4625C">
            <w:pPr>
              <w:jc w:val="center"/>
              <w:rPr>
                <w:rFonts w:ascii="Arial" w:hAnsi="Arial" w:cs="Arial"/>
                <w:snapToGrid w:val="0"/>
                <w:color w:val="000000"/>
                <w:sz w:val="20"/>
                <w:szCs w:val="20"/>
                <w:lang w:eastAsia="en-US"/>
              </w:rPr>
            </w:pPr>
            <w:r w:rsidRPr="00545A61">
              <w:rPr>
                <w:rFonts w:ascii="Arial" w:hAnsi="Arial" w:cs="Arial"/>
                <w:snapToGrid w:val="0"/>
                <w:color w:val="000000"/>
                <w:sz w:val="20"/>
                <w:szCs w:val="20"/>
                <w:lang w:eastAsia="en-US"/>
              </w:rPr>
              <w:t>в натура</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bottom"/>
          </w:tcPr>
          <w:p w:rsidR="00D4625C" w:rsidRPr="00545A61" w:rsidRDefault="00D4625C" w:rsidP="00D4625C">
            <w:pPr>
              <w:jc w:val="right"/>
              <w:rPr>
                <w:rFonts w:ascii="Arial" w:hAnsi="Arial" w:cs="Arial"/>
                <w:sz w:val="20"/>
                <w:szCs w:val="20"/>
              </w:rPr>
            </w:pPr>
            <w:r w:rsidRPr="00545A61">
              <w:rPr>
                <w:rFonts w:ascii="Arial" w:hAnsi="Arial" w:cs="Arial"/>
                <w:sz w:val="20"/>
                <w:szCs w:val="20"/>
              </w:rPr>
              <w:t>9 698</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D4625C" w:rsidRPr="00545A61" w:rsidRDefault="00D4625C" w:rsidP="00D4625C">
            <w:pPr>
              <w:jc w:val="right"/>
              <w:rPr>
                <w:rFonts w:ascii="Arial" w:hAnsi="Arial" w:cs="Arial"/>
                <w:sz w:val="20"/>
                <w:szCs w:val="20"/>
              </w:rPr>
            </w:pPr>
            <w:r w:rsidRPr="00545A61">
              <w:rPr>
                <w:rFonts w:ascii="Arial" w:hAnsi="Arial" w:cs="Arial"/>
                <w:sz w:val="20"/>
                <w:szCs w:val="20"/>
              </w:rPr>
              <w:t>79.49</w:t>
            </w:r>
          </w:p>
        </w:tc>
      </w:tr>
      <w:tr w:rsidR="00D4625C" w:rsidRPr="005E77C9" w:rsidTr="00135F12">
        <w:trPr>
          <w:trHeight w:val="293"/>
          <w:jc w:val="center"/>
        </w:trPr>
        <w:tc>
          <w:tcPr>
            <w:tcW w:w="4523" w:type="dxa"/>
            <w:tcBorders>
              <w:top w:val="single" w:sz="4" w:space="0" w:color="auto"/>
              <w:left w:val="single" w:sz="4" w:space="0" w:color="auto"/>
              <w:bottom w:val="single" w:sz="4" w:space="0" w:color="auto"/>
              <w:right w:val="single" w:sz="4" w:space="0" w:color="auto"/>
            </w:tcBorders>
            <w:vAlign w:val="bottom"/>
          </w:tcPr>
          <w:p w:rsidR="00D4625C" w:rsidRPr="00545A61" w:rsidRDefault="00D4625C" w:rsidP="00D4625C">
            <w:pPr>
              <w:pStyle w:val="FootnoteText"/>
              <w:rPr>
                <w:rFonts w:ascii="Arial" w:hAnsi="Arial" w:cs="Arial"/>
                <w:b/>
                <w:lang w:eastAsia="bg-BG"/>
              </w:rPr>
            </w:pPr>
            <w:r w:rsidRPr="00545A61">
              <w:rPr>
                <w:rFonts w:ascii="Arial" w:hAnsi="Arial" w:cs="Arial"/>
                <w:b/>
              </w:rPr>
              <w:t>Общо разходи за социални надбавки:</w:t>
            </w:r>
          </w:p>
        </w:tc>
        <w:tc>
          <w:tcPr>
            <w:tcW w:w="1141" w:type="dxa"/>
            <w:tcBorders>
              <w:top w:val="single" w:sz="4" w:space="0" w:color="auto"/>
              <w:left w:val="nil"/>
              <w:bottom w:val="single" w:sz="4" w:space="0" w:color="auto"/>
              <w:right w:val="single" w:sz="4" w:space="0" w:color="auto"/>
            </w:tcBorders>
            <w:vAlign w:val="bottom"/>
          </w:tcPr>
          <w:p w:rsidR="00D4625C" w:rsidRPr="00545A61" w:rsidRDefault="00D4625C" w:rsidP="00D4625C">
            <w:pPr>
              <w:jc w:val="center"/>
              <w:rPr>
                <w:rFonts w:ascii="Arial" w:hAnsi="Arial" w:cs="Arial"/>
                <w:b/>
                <w:snapToGrid w:val="0"/>
                <w:color w:val="000000"/>
                <w:sz w:val="20"/>
                <w:szCs w:val="20"/>
                <w:lang w:val="ru-RU" w:eastAsia="en-US"/>
              </w:rPr>
            </w:pPr>
          </w:p>
        </w:tc>
        <w:tc>
          <w:tcPr>
            <w:tcW w:w="1211" w:type="dxa"/>
            <w:tcBorders>
              <w:top w:val="single" w:sz="4" w:space="0" w:color="auto"/>
              <w:left w:val="single" w:sz="4" w:space="0" w:color="auto"/>
              <w:bottom w:val="single" w:sz="4" w:space="0" w:color="auto"/>
              <w:right w:val="single" w:sz="4" w:space="0" w:color="auto"/>
            </w:tcBorders>
            <w:shd w:val="clear" w:color="auto" w:fill="auto"/>
            <w:vAlign w:val="bottom"/>
          </w:tcPr>
          <w:p w:rsidR="00D4625C" w:rsidRPr="00545A61" w:rsidRDefault="00D4625C" w:rsidP="00D4625C">
            <w:pPr>
              <w:jc w:val="right"/>
              <w:rPr>
                <w:rFonts w:ascii="Arial" w:hAnsi="Arial" w:cs="Arial"/>
                <w:sz w:val="20"/>
                <w:szCs w:val="20"/>
              </w:rPr>
            </w:pPr>
            <w:r w:rsidRPr="00545A61">
              <w:rPr>
                <w:rFonts w:ascii="Arial" w:hAnsi="Arial" w:cs="Arial"/>
                <w:sz w:val="20"/>
                <w:szCs w:val="20"/>
              </w:rPr>
              <w:t>329 39</w:t>
            </w:r>
            <w:r w:rsidR="00B70D63" w:rsidRPr="00545A61">
              <w:rPr>
                <w:rFonts w:ascii="Arial" w:hAnsi="Arial" w:cs="Arial"/>
                <w:sz w:val="20"/>
                <w:szCs w:val="20"/>
              </w:rPr>
              <w:t>2</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D4625C" w:rsidRPr="00545A61" w:rsidRDefault="00D4625C" w:rsidP="00D4625C">
            <w:pPr>
              <w:jc w:val="right"/>
              <w:rPr>
                <w:rFonts w:ascii="Arial" w:hAnsi="Arial" w:cs="Arial"/>
                <w:sz w:val="20"/>
                <w:szCs w:val="20"/>
              </w:rPr>
            </w:pPr>
            <w:r w:rsidRPr="00545A61">
              <w:rPr>
                <w:rFonts w:ascii="Arial" w:hAnsi="Arial" w:cs="Arial"/>
                <w:sz w:val="20"/>
                <w:szCs w:val="20"/>
              </w:rPr>
              <w:t>2 699.93</w:t>
            </w:r>
          </w:p>
        </w:tc>
      </w:tr>
      <w:tr w:rsidR="00D4625C" w:rsidRPr="005E77C9" w:rsidTr="00135F12">
        <w:trPr>
          <w:trHeight w:val="293"/>
          <w:jc w:val="center"/>
        </w:trPr>
        <w:tc>
          <w:tcPr>
            <w:tcW w:w="4523" w:type="dxa"/>
            <w:tcBorders>
              <w:top w:val="single" w:sz="4" w:space="0" w:color="auto"/>
              <w:left w:val="single" w:sz="4" w:space="0" w:color="auto"/>
              <w:bottom w:val="single" w:sz="4" w:space="0" w:color="auto"/>
              <w:right w:val="single" w:sz="4" w:space="0" w:color="auto"/>
            </w:tcBorders>
            <w:vAlign w:val="bottom"/>
          </w:tcPr>
          <w:p w:rsidR="00D4625C" w:rsidRPr="00545A61" w:rsidRDefault="00D4625C" w:rsidP="00D4625C">
            <w:pPr>
              <w:pStyle w:val="FootnoteText"/>
              <w:rPr>
                <w:rFonts w:ascii="Arial" w:hAnsi="Arial" w:cs="Arial"/>
              </w:rPr>
            </w:pPr>
            <w:r w:rsidRPr="00545A61">
              <w:rPr>
                <w:rFonts w:ascii="Arial" w:hAnsi="Arial" w:cs="Arial"/>
              </w:rPr>
              <w:t xml:space="preserve">Разходи за социални осигуровки </w:t>
            </w:r>
          </w:p>
        </w:tc>
        <w:tc>
          <w:tcPr>
            <w:tcW w:w="1141" w:type="dxa"/>
            <w:tcBorders>
              <w:top w:val="single" w:sz="4" w:space="0" w:color="auto"/>
              <w:left w:val="nil"/>
              <w:bottom w:val="single" w:sz="4" w:space="0" w:color="auto"/>
              <w:right w:val="single" w:sz="4" w:space="0" w:color="auto"/>
            </w:tcBorders>
            <w:vAlign w:val="bottom"/>
          </w:tcPr>
          <w:p w:rsidR="00D4625C" w:rsidRPr="00545A61" w:rsidRDefault="00D4625C" w:rsidP="00D4625C">
            <w:pPr>
              <w:jc w:val="center"/>
              <w:rPr>
                <w:rFonts w:ascii="Arial" w:hAnsi="Arial" w:cs="Arial"/>
                <w:b/>
                <w:snapToGrid w:val="0"/>
                <w:color w:val="000000"/>
                <w:sz w:val="20"/>
                <w:szCs w:val="20"/>
                <w:lang w:val="ru-RU" w:eastAsia="en-US"/>
              </w:rPr>
            </w:pPr>
          </w:p>
        </w:tc>
        <w:tc>
          <w:tcPr>
            <w:tcW w:w="1211" w:type="dxa"/>
            <w:tcBorders>
              <w:top w:val="single" w:sz="4" w:space="0" w:color="auto"/>
              <w:left w:val="single" w:sz="4" w:space="0" w:color="auto"/>
              <w:bottom w:val="single" w:sz="4" w:space="0" w:color="auto"/>
              <w:right w:val="single" w:sz="4" w:space="0" w:color="auto"/>
            </w:tcBorders>
            <w:shd w:val="clear" w:color="auto" w:fill="auto"/>
            <w:vAlign w:val="bottom"/>
          </w:tcPr>
          <w:p w:rsidR="00D4625C" w:rsidRPr="00545A61" w:rsidRDefault="00D4625C" w:rsidP="00D4625C">
            <w:pPr>
              <w:jc w:val="right"/>
              <w:rPr>
                <w:rFonts w:ascii="Arial" w:hAnsi="Arial" w:cs="Arial"/>
                <w:sz w:val="20"/>
                <w:szCs w:val="20"/>
              </w:rPr>
            </w:pPr>
            <w:r w:rsidRPr="00545A61">
              <w:rPr>
                <w:rFonts w:ascii="Arial" w:hAnsi="Arial" w:cs="Arial"/>
                <w:sz w:val="20"/>
                <w:szCs w:val="20"/>
              </w:rPr>
              <w:t>515 1</w:t>
            </w:r>
            <w:r w:rsidR="002141A1" w:rsidRPr="00545A61">
              <w:rPr>
                <w:rFonts w:ascii="Arial" w:hAnsi="Arial" w:cs="Arial"/>
                <w:sz w:val="20"/>
                <w:szCs w:val="20"/>
              </w:rPr>
              <w:t>90</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D4625C" w:rsidRPr="00545A61" w:rsidRDefault="00D4625C" w:rsidP="00D4625C">
            <w:pPr>
              <w:jc w:val="right"/>
              <w:rPr>
                <w:rFonts w:ascii="Arial" w:hAnsi="Arial" w:cs="Arial"/>
                <w:sz w:val="20"/>
                <w:szCs w:val="20"/>
              </w:rPr>
            </w:pPr>
            <w:r w:rsidRPr="00545A61">
              <w:rPr>
                <w:rFonts w:ascii="Arial" w:hAnsi="Arial" w:cs="Arial"/>
                <w:sz w:val="20"/>
                <w:szCs w:val="20"/>
              </w:rPr>
              <w:t>4 222.8</w:t>
            </w:r>
            <w:r w:rsidR="002141A1" w:rsidRPr="00545A61">
              <w:rPr>
                <w:rFonts w:ascii="Arial" w:hAnsi="Arial" w:cs="Arial"/>
                <w:sz w:val="20"/>
                <w:szCs w:val="20"/>
              </w:rPr>
              <w:t>7</w:t>
            </w:r>
          </w:p>
        </w:tc>
      </w:tr>
      <w:tr w:rsidR="00D4625C" w:rsidRPr="003D5468" w:rsidTr="00135F12">
        <w:trPr>
          <w:trHeight w:val="293"/>
          <w:jc w:val="center"/>
        </w:trPr>
        <w:tc>
          <w:tcPr>
            <w:tcW w:w="4523" w:type="dxa"/>
            <w:tcBorders>
              <w:top w:val="single" w:sz="4" w:space="0" w:color="auto"/>
              <w:left w:val="single" w:sz="4" w:space="0" w:color="auto"/>
              <w:bottom w:val="single" w:sz="4" w:space="0" w:color="auto"/>
              <w:right w:val="single" w:sz="4" w:space="0" w:color="auto"/>
            </w:tcBorders>
            <w:vAlign w:val="bottom"/>
          </w:tcPr>
          <w:p w:rsidR="00D4625C" w:rsidRPr="00545A61" w:rsidRDefault="00D4625C" w:rsidP="00D4625C">
            <w:pPr>
              <w:pStyle w:val="FootnoteText"/>
              <w:rPr>
                <w:rFonts w:ascii="Arial" w:hAnsi="Arial" w:cs="Arial"/>
                <w:b/>
              </w:rPr>
            </w:pPr>
            <w:r w:rsidRPr="00545A61">
              <w:rPr>
                <w:rFonts w:ascii="Arial" w:hAnsi="Arial" w:cs="Arial"/>
                <w:b/>
              </w:rPr>
              <w:t>Общо разходи за социални осигуровки и надбавки:</w:t>
            </w:r>
          </w:p>
        </w:tc>
        <w:tc>
          <w:tcPr>
            <w:tcW w:w="1141" w:type="dxa"/>
            <w:tcBorders>
              <w:top w:val="single" w:sz="4" w:space="0" w:color="auto"/>
              <w:left w:val="nil"/>
              <w:bottom w:val="single" w:sz="4" w:space="0" w:color="auto"/>
              <w:right w:val="single" w:sz="4" w:space="0" w:color="auto"/>
            </w:tcBorders>
            <w:vAlign w:val="bottom"/>
          </w:tcPr>
          <w:p w:rsidR="00D4625C" w:rsidRPr="00545A61" w:rsidRDefault="00D4625C" w:rsidP="00D4625C">
            <w:pPr>
              <w:jc w:val="center"/>
              <w:rPr>
                <w:rFonts w:ascii="Arial" w:hAnsi="Arial" w:cs="Arial"/>
                <w:b/>
                <w:snapToGrid w:val="0"/>
                <w:color w:val="000000"/>
                <w:sz w:val="20"/>
                <w:szCs w:val="20"/>
                <w:lang w:eastAsia="en-US"/>
              </w:rPr>
            </w:pPr>
          </w:p>
        </w:tc>
        <w:tc>
          <w:tcPr>
            <w:tcW w:w="1211" w:type="dxa"/>
            <w:tcBorders>
              <w:top w:val="single" w:sz="4" w:space="0" w:color="auto"/>
              <w:left w:val="single" w:sz="4" w:space="0" w:color="auto"/>
              <w:bottom w:val="single" w:sz="4" w:space="0" w:color="auto"/>
              <w:right w:val="single" w:sz="4" w:space="0" w:color="auto"/>
            </w:tcBorders>
            <w:shd w:val="clear" w:color="auto" w:fill="auto"/>
            <w:vAlign w:val="bottom"/>
          </w:tcPr>
          <w:p w:rsidR="00D4625C" w:rsidRPr="00545A61" w:rsidRDefault="00D4625C" w:rsidP="00B70D63">
            <w:pPr>
              <w:jc w:val="right"/>
              <w:rPr>
                <w:rFonts w:ascii="Arial" w:hAnsi="Arial" w:cs="Arial"/>
                <w:sz w:val="20"/>
                <w:szCs w:val="20"/>
              </w:rPr>
            </w:pPr>
            <w:r w:rsidRPr="00545A61">
              <w:rPr>
                <w:rFonts w:ascii="Arial" w:hAnsi="Arial" w:cs="Arial"/>
                <w:sz w:val="20"/>
                <w:szCs w:val="20"/>
              </w:rPr>
              <w:t>844 58</w:t>
            </w:r>
            <w:r w:rsidR="00B70D63" w:rsidRPr="00545A61">
              <w:rPr>
                <w:rFonts w:ascii="Arial" w:hAnsi="Arial" w:cs="Arial"/>
                <w:sz w:val="20"/>
                <w:szCs w:val="20"/>
              </w:rPr>
              <w:t>2</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D4625C" w:rsidRPr="00545A61" w:rsidRDefault="00D4625C" w:rsidP="00D4625C">
            <w:pPr>
              <w:jc w:val="right"/>
              <w:rPr>
                <w:rFonts w:ascii="Arial" w:hAnsi="Arial" w:cs="Arial"/>
                <w:sz w:val="20"/>
                <w:szCs w:val="20"/>
              </w:rPr>
            </w:pPr>
            <w:r w:rsidRPr="00545A61">
              <w:rPr>
                <w:rFonts w:ascii="Arial" w:hAnsi="Arial" w:cs="Arial"/>
                <w:sz w:val="20"/>
                <w:szCs w:val="20"/>
              </w:rPr>
              <w:t>6 922.80</w:t>
            </w:r>
          </w:p>
        </w:tc>
      </w:tr>
    </w:tbl>
    <w:p w:rsidR="000D4A2E" w:rsidRPr="003D5468" w:rsidRDefault="000D4A2E" w:rsidP="000D4A2E">
      <w:bookmarkStart w:id="53" w:name="_Toc288478117"/>
    </w:p>
    <w:bookmarkEnd w:id="51"/>
    <w:p w:rsidR="00916960" w:rsidRPr="003D5468" w:rsidRDefault="00685C28" w:rsidP="00150CC2">
      <w:pPr>
        <w:numPr>
          <w:ilvl w:val="0"/>
          <w:numId w:val="3"/>
        </w:numPr>
        <w:tabs>
          <w:tab w:val="clear" w:pos="113"/>
          <w:tab w:val="num" w:pos="709"/>
        </w:tabs>
        <w:spacing w:after="120"/>
        <w:ind w:firstLine="142"/>
        <w:jc w:val="both"/>
        <w:rPr>
          <w:rFonts w:eastAsia="Times New Roman"/>
          <w:lang w:eastAsia="bg-BG"/>
        </w:rPr>
      </w:pPr>
      <w:r>
        <w:rPr>
          <w:szCs w:val="26"/>
        </w:rPr>
        <w:t>П</w:t>
      </w:r>
      <w:r w:rsidR="006F7A0B" w:rsidRPr="00685C28">
        <w:rPr>
          <w:szCs w:val="26"/>
        </w:rPr>
        <w:t xml:space="preserve">ри </w:t>
      </w:r>
      <w:r w:rsidR="006F7A0B" w:rsidRPr="00685C28">
        <w:rPr>
          <w:b/>
          <w:i/>
          <w:szCs w:val="26"/>
        </w:rPr>
        <w:t>другите разходи</w:t>
      </w:r>
      <w:r w:rsidR="006F7A0B" w:rsidRPr="00685C28">
        <w:rPr>
          <w:szCs w:val="26"/>
        </w:rPr>
        <w:t xml:space="preserve"> на дружеството, след като се елиминират показаните разходи по оперативна програма „Развитие човешки ресурси“, се отчита намаление в сравнение с 2018</w:t>
      </w:r>
      <w:r w:rsidR="006F7A0B" w:rsidRPr="00685C28">
        <w:rPr>
          <w:szCs w:val="26"/>
          <w:lang w:val="en-US"/>
        </w:rPr>
        <w:t xml:space="preserve"> </w:t>
      </w:r>
      <w:r w:rsidR="006F7A0B" w:rsidRPr="00685C28">
        <w:rPr>
          <w:szCs w:val="26"/>
        </w:rPr>
        <w:t>г. и за 2019</w:t>
      </w:r>
      <w:r w:rsidR="006F7A0B" w:rsidRPr="00685C28">
        <w:rPr>
          <w:szCs w:val="26"/>
          <w:lang w:val="en-US"/>
        </w:rPr>
        <w:t xml:space="preserve"> </w:t>
      </w:r>
      <w:r w:rsidR="006F7A0B" w:rsidRPr="00685C28">
        <w:rPr>
          <w:szCs w:val="26"/>
        </w:rPr>
        <w:t>г. възлизат на 124 хил.</w:t>
      </w:r>
      <w:r w:rsidR="00BB77A4" w:rsidRPr="00685C28">
        <w:rPr>
          <w:szCs w:val="26"/>
        </w:rPr>
        <w:t xml:space="preserve"> </w:t>
      </w:r>
      <w:r w:rsidR="006F7A0B" w:rsidRPr="00685C28">
        <w:rPr>
          <w:szCs w:val="26"/>
        </w:rPr>
        <w:t xml:space="preserve">лв. </w:t>
      </w:r>
      <w:r w:rsidR="00D9165E" w:rsidRPr="00685C28">
        <w:rPr>
          <w:szCs w:val="26"/>
        </w:rPr>
        <w:t>(</w:t>
      </w:r>
      <w:r w:rsidR="006F7A0B" w:rsidRPr="00685C28">
        <w:rPr>
          <w:szCs w:val="26"/>
        </w:rPr>
        <w:t>-17 хил.</w:t>
      </w:r>
      <w:r w:rsidR="00BB77A4" w:rsidRPr="00685C28">
        <w:rPr>
          <w:szCs w:val="26"/>
        </w:rPr>
        <w:t xml:space="preserve"> </w:t>
      </w:r>
      <w:r w:rsidR="006F7A0B" w:rsidRPr="00685C28">
        <w:rPr>
          <w:szCs w:val="26"/>
        </w:rPr>
        <w:t>лв., -12%</w:t>
      </w:r>
      <w:r w:rsidR="00D9165E" w:rsidRPr="00685C28">
        <w:rPr>
          <w:szCs w:val="26"/>
        </w:rPr>
        <w:t>)</w:t>
      </w:r>
      <w:r w:rsidR="006F7A0B" w:rsidRPr="00685C28">
        <w:rPr>
          <w:szCs w:val="26"/>
        </w:rPr>
        <w:t>. Икономията произхожда най-вече от намалението при средствата по чл. 222 и чл. 224 от КТ, свързани с изплащане</w:t>
      </w:r>
      <w:r w:rsidR="006F7A0B" w:rsidRPr="0097342D">
        <w:rPr>
          <w:szCs w:val="26"/>
        </w:rPr>
        <w:t xml:space="preserve"> на обезщетения при напускане и пенсиониране на работници и служители -</w:t>
      </w:r>
      <w:r w:rsidR="0097342D" w:rsidRPr="0097342D">
        <w:rPr>
          <w:szCs w:val="26"/>
        </w:rPr>
        <w:t>20</w:t>
      </w:r>
      <w:r w:rsidR="006F7A0B" w:rsidRPr="0097342D">
        <w:rPr>
          <w:szCs w:val="26"/>
        </w:rPr>
        <w:t xml:space="preserve"> хил.</w:t>
      </w:r>
      <w:r w:rsidR="00BB77A4" w:rsidRPr="0097342D">
        <w:rPr>
          <w:szCs w:val="26"/>
        </w:rPr>
        <w:t xml:space="preserve"> </w:t>
      </w:r>
      <w:r w:rsidR="006F7A0B" w:rsidRPr="0097342D">
        <w:rPr>
          <w:szCs w:val="26"/>
        </w:rPr>
        <w:t xml:space="preserve">лв. </w:t>
      </w:r>
      <w:r w:rsidR="00D9165E" w:rsidRPr="0097342D">
        <w:rPr>
          <w:szCs w:val="26"/>
        </w:rPr>
        <w:t>(</w:t>
      </w:r>
      <w:r w:rsidR="006F7A0B" w:rsidRPr="0097342D">
        <w:rPr>
          <w:szCs w:val="26"/>
        </w:rPr>
        <w:t>-2</w:t>
      </w:r>
      <w:r w:rsidR="0097342D" w:rsidRPr="0097342D">
        <w:rPr>
          <w:szCs w:val="26"/>
        </w:rPr>
        <w:t>8</w:t>
      </w:r>
      <w:r w:rsidR="006F7A0B" w:rsidRPr="0097342D">
        <w:rPr>
          <w:szCs w:val="26"/>
        </w:rPr>
        <w:t>%</w:t>
      </w:r>
      <w:r w:rsidR="00D9165E" w:rsidRPr="0097342D">
        <w:rPr>
          <w:szCs w:val="26"/>
        </w:rPr>
        <w:t>)</w:t>
      </w:r>
      <w:r w:rsidR="006F7A0B" w:rsidRPr="0097342D">
        <w:rPr>
          <w:szCs w:val="26"/>
        </w:rPr>
        <w:t xml:space="preserve"> и </w:t>
      </w:r>
      <w:r w:rsidR="0097342D" w:rsidRPr="0097342D">
        <w:rPr>
          <w:szCs w:val="26"/>
        </w:rPr>
        <w:t xml:space="preserve">командировки в страната и чужбина -5 хил. лв. (-36%). </w:t>
      </w:r>
      <w:r w:rsidR="006F7A0B" w:rsidRPr="0097342D">
        <w:rPr>
          <w:szCs w:val="26"/>
        </w:rPr>
        <w:t xml:space="preserve">Увеличение има при </w:t>
      </w:r>
      <w:r w:rsidR="006F7A0B" w:rsidRPr="0097342D">
        <w:rPr>
          <w:i/>
          <w:szCs w:val="26"/>
        </w:rPr>
        <w:t>други разходи</w:t>
      </w:r>
      <w:r w:rsidR="006F7A0B" w:rsidRPr="0097342D">
        <w:rPr>
          <w:szCs w:val="26"/>
        </w:rPr>
        <w:t xml:space="preserve"> с 5 хил.</w:t>
      </w:r>
      <w:r w:rsidR="00BB77A4" w:rsidRPr="0097342D">
        <w:rPr>
          <w:szCs w:val="26"/>
        </w:rPr>
        <w:t xml:space="preserve"> </w:t>
      </w:r>
      <w:r w:rsidR="006F7A0B" w:rsidRPr="0097342D">
        <w:rPr>
          <w:szCs w:val="26"/>
        </w:rPr>
        <w:t>лв</w:t>
      </w:r>
      <w:r w:rsidR="006F7A0B" w:rsidRPr="0097342D">
        <w:t>.</w:t>
      </w:r>
    </w:p>
    <w:p w:rsidR="00207A76" w:rsidRPr="003D5468" w:rsidRDefault="00207A76" w:rsidP="00AB1D3F">
      <w:pPr>
        <w:spacing w:after="120"/>
        <w:ind w:left="113"/>
        <w:jc w:val="both"/>
        <w:rPr>
          <w:rFonts w:eastAsia="Times New Roman"/>
          <w:lang w:eastAsia="bg-BG"/>
        </w:rPr>
      </w:pPr>
    </w:p>
    <w:p w:rsidR="00773F85" w:rsidRPr="005E77C9" w:rsidRDefault="00E026C6" w:rsidP="00E026C6">
      <w:pPr>
        <w:pStyle w:val="Heading2"/>
        <w:tabs>
          <w:tab w:val="num" w:pos="720"/>
        </w:tabs>
        <w:spacing w:after="120"/>
        <w:ind w:left="1080"/>
        <w:rPr>
          <w:rFonts w:ascii="Times New Roman" w:hAnsi="Times New Roman"/>
          <w:i/>
          <w:sz w:val="24"/>
          <w:u w:val="single"/>
        </w:rPr>
      </w:pPr>
      <w:bookmarkStart w:id="54" w:name="_Toc40777301"/>
      <w:r w:rsidRPr="005E77C9">
        <w:rPr>
          <w:rFonts w:ascii="Times New Roman" w:hAnsi="Times New Roman"/>
          <w:i/>
          <w:sz w:val="24"/>
          <w:u w:val="single"/>
          <w:lang w:val="en-US"/>
        </w:rPr>
        <w:t>4</w:t>
      </w:r>
      <w:r w:rsidRPr="005E77C9">
        <w:rPr>
          <w:rFonts w:ascii="Times New Roman" w:hAnsi="Times New Roman"/>
          <w:i/>
          <w:sz w:val="24"/>
          <w:u w:val="single"/>
        </w:rPr>
        <w:t xml:space="preserve">) </w:t>
      </w:r>
      <w:r w:rsidR="00773F85" w:rsidRPr="005E77C9">
        <w:rPr>
          <w:rFonts w:ascii="Times New Roman" w:hAnsi="Times New Roman"/>
          <w:i/>
          <w:smallCaps/>
          <w:sz w:val="24"/>
          <w:u w:val="single"/>
        </w:rPr>
        <w:t>Приходи и разходи по основни видове дейности (Центрове на печалбата</w:t>
      </w:r>
      <w:r w:rsidR="00773F85" w:rsidRPr="005E77C9">
        <w:rPr>
          <w:rFonts w:ascii="Times New Roman" w:hAnsi="Times New Roman"/>
          <w:i/>
          <w:sz w:val="24"/>
          <w:u w:val="single"/>
        </w:rPr>
        <w:t>)</w:t>
      </w:r>
      <w:bookmarkEnd w:id="53"/>
      <w:bookmarkEnd w:id="54"/>
    </w:p>
    <w:tbl>
      <w:tblPr>
        <w:tblW w:w="10065" w:type="dxa"/>
        <w:tblInd w:w="111" w:type="dxa"/>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4140"/>
        <w:gridCol w:w="1080"/>
        <w:gridCol w:w="1080"/>
        <w:gridCol w:w="1355"/>
        <w:gridCol w:w="1080"/>
        <w:gridCol w:w="1330"/>
      </w:tblGrid>
      <w:tr w:rsidR="004B48E2" w:rsidRPr="005E77C9" w:rsidTr="00F36D5E">
        <w:trPr>
          <w:trHeight w:val="703"/>
        </w:trPr>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098A" w:rsidRPr="005E77C9" w:rsidRDefault="004B48E2" w:rsidP="00217999">
            <w:pPr>
              <w:pStyle w:val="FootnoteText"/>
              <w:jc w:val="center"/>
              <w:rPr>
                <w:rFonts w:ascii="Arial" w:hAnsi="Arial" w:cs="Arial"/>
                <w:b/>
              </w:rPr>
            </w:pPr>
            <w:bookmarkStart w:id="55" w:name="_Hlk506994975"/>
            <w:r w:rsidRPr="005E77C9">
              <w:rPr>
                <w:rFonts w:ascii="Arial" w:hAnsi="Arial" w:cs="Arial"/>
                <w:b/>
              </w:rPr>
              <w:t>ПРИХОДИ / РАЗХОДИ</w:t>
            </w:r>
          </w:p>
          <w:p w:rsidR="004B48E2" w:rsidRPr="005E77C9" w:rsidRDefault="004B48E2" w:rsidP="00217999">
            <w:pPr>
              <w:pStyle w:val="FootnoteText"/>
              <w:jc w:val="center"/>
              <w:rPr>
                <w:rFonts w:ascii="Arial" w:hAnsi="Arial" w:cs="Arial"/>
                <w:b/>
              </w:rPr>
            </w:pPr>
            <w:r w:rsidRPr="005E77C9">
              <w:rPr>
                <w:rFonts w:ascii="Arial" w:hAnsi="Arial" w:cs="Arial"/>
                <w:b/>
              </w:rPr>
              <w:t>по центрове на печалбата (хил.лв.)</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B48E2" w:rsidRPr="005251BB" w:rsidRDefault="004B48E2" w:rsidP="007E0DC6">
            <w:pPr>
              <w:jc w:val="center"/>
              <w:rPr>
                <w:rFonts w:ascii="Arial" w:hAnsi="Arial" w:cs="Arial"/>
                <w:b/>
                <w:snapToGrid w:val="0"/>
                <w:sz w:val="20"/>
                <w:szCs w:val="20"/>
                <w:lang w:eastAsia="en-US"/>
              </w:rPr>
            </w:pPr>
            <w:r w:rsidRPr="005251BB">
              <w:rPr>
                <w:rFonts w:ascii="Arial" w:hAnsi="Arial" w:cs="Arial"/>
                <w:b/>
                <w:snapToGrid w:val="0"/>
                <w:sz w:val="20"/>
                <w:szCs w:val="20"/>
                <w:lang w:eastAsia="en-US"/>
              </w:rPr>
              <w:t>20</w:t>
            </w:r>
            <w:r w:rsidR="007A2761" w:rsidRPr="005251BB">
              <w:rPr>
                <w:rFonts w:ascii="Arial" w:hAnsi="Arial" w:cs="Arial"/>
                <w:b/>
                <w:snapToGrid w:val="0"/>
                <w:sz w:val="20"/>
                <w:szCs w:val="20"/>
                <w:lang w:eastAsia="en-US"/>
              </w:rPr>
              <w:t>1</w:t>
            </w:r>
            <w:r w:rsidR="00D4625C" w:rsidRPr="005251BB">
              <w:rPr>
                <w:rFonts w:ascii="Arial" w:hAnsi="Arial" w:cs="Arial"/>
                <w:b/>
                <w:snapToGrid w:val="0"/>
                <w:sz w:val="20"/>
                <w:szCs w:val="20"/>
                <w:lang w:eastAsia="en-US"/>
              </w:rPr>
              <w:t>9</w:t>
            </w:r>
            <w:r w:rsidRPr="005251BB">
              <w:rPr>
                <w:rFonts w:ascii="Arial" w:hAnsi="Arial" w:cs="Arial"/>
                <w:b/>
                <w:snapToGrid w:val="0"/>
                <w:sz w:val="20"/>
                <w:szCs w:val="20"/>
                <w:lang w:eastAsia="en-US"/>
              </w:rPr>
              <w:t xml:space="preserve"> г.</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B48E2" w:rsidRPr="005251BB" w:rsidRDefault="00CF04D6" w:rsidP="00B70D63">
            <w:pPr>
              <w:jc w:val="center"/>
              <w:rPr>
                <w:rFonts w:ascii="Arial" w:hAnsi="Arial" w:cs="Arial"/>
                <w:b/>
                <w:snapToGrid w:val="0"/>
                <w:sz w:val="20"/>
                <w:szCs w:val="20"/>
                <w:lang w:eastAsia="en-US"/>
              </w:rPr>
            </w:pPr>
            <w:r w:rsidRPr="005251BB">
              <w:rPr>
                <w:rFonts w:ascii="Arial" w:hAnsi="Arial" w:cs="Arial"/>
                <w:b/>
                <w:snapToGrid w:val="0"/>
                <w:sz w:val="20"/>
                <w:szCs w:val="20"/>
                <w:lang w:eastAsia="en-US"/>
              </w:rPr>
              <w:t>Б</w:t>
            </w:r>
            <w:r w:rsidR="004B48E2" w:rsidRPr="005251BB">
              <w:rPr>
                <w:rFonts w:ascii="Arial" w:hAnsi="Arial" w:cs="Arial"/>
                <w:b/>
                <w:snapToGrid w:val="0"/>
                <w:sz w:val="20"/>
                <w:szCs w:val="20"/>
                <w:lang w:eastAsia="en-US"/>
              </w:rPr>
              <w:t>изнес план</w:t>
            </w:r>
            <w:r w:rsidR="00CD6AA0" w:rsidRPr="005251BB">
              <w:rPr>
                <w:rFonts w:ascii="Arial" w:hAnsi="Arial" w:cs="Arial"/>
                <w:b/>
                <w:snapToGrid w:val="0"/>
                <w:sz w:val="20"/>
                <w:szCs w:val="20"/>
                <w:lang w:eastAsia="en-US"/>
              </w:rPr>
              <w:t xml:space="preserve"> 201</w:t>
            </w:r>
            <w:r w:rsidR="00B70D63" w:rsidRPr="005251BB">
              <w:rPr>
                <w:rFonts w:ascii="Arial" w:hAnsi="Arial" w:cs="Arial"/>
                <w:b/>
                <w:snapToGrid w:val="0"/>
                <w:sz w:val="20"/>
                <w:szCs w:val="20"/>
                <w:lang w:eastAsia="en-US"/>
              </w:rPr>
              <w:t>9</w:t>
            </w:r>
          </w:p>
        </w:tc>
        <w:tc>
          <w:tcPr>
            <w:tcW w:w="1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B48E2" w:rsidRPr="005E77C9" w:rsidRDefault="004B48E2" w:rsidP="00217999">
            <w:pPr>
              <w:jc w:val="center"/>
              <w:rPr>
                <w:rFonts w:ascii="Arial" w:hAnsi="Arial" w:cs="Arial"/>
                <w:b/>
                <w:snapToGrid w:val="0"/>
                <w:sz w:val="20"/>
                <w:szCs w:val="20"/>
                <w:lang w:val="ru-RU" w:eastAsia="en-US"/>
              </w:rPr>
            </w:pPr>
            <w:r w:rsidRPr="005E77C9">
              <w:rPr>
                <w:rFonts w:ascii="Arial" w:hAnsi="Arial" w:cs="Arial"/>
                <w:b/>
                <w:snapToGrid w:val="0"/>
                <w:sz w:val="20"/>
                <w:szCs w:val="20"/>
                <w:lang w:val="ru-RU" w:eastAsia="en-US"/>
              </w:rPr>
              <w:t>Изменение (%)</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B48E2" w:rsidRPr="005E77C9" w:rsidRDefault="004B48E2" w:rsidP="007E0DC6">
            <w:pPr>
              <w:jc w:val="center"/>
              <w:rPr>
                <w:rFonts w:ascii="Arial" w:hAnsi="Arial" w:cs="Arial"/>
                <w:b/>
                <w:snapToGrid w:val="0"/>
                <w:sz w:val="20"/>
                <w:szCs w:val="20"/>
                <w:lang w:eastAsia="en-US"/>
              </w:rPr>
            </w:pPr>
            <w:r w:rsidRPr="005E77C9">
              <w:rPr>
                <w:rFonts w:ascii="Arial" w:hAnsi="Arial" w:cs="Arial"/>
                <w:b/>
                <w:snapToGrid w:val="0"/>
                <w:sz w:val="20"/>
                <w:szCs w:val="20"/>
                <w:lang w:eastAsia="en-US"/>
              </w:rPr>
              <w:t>20</w:t>
            </w:r>
            <w:r w:rsidR="003C1B25" w:rsidRPr="005E77C9">
              <w:rPr>
                <w:rFonts w:ascii="Arial" w:hAnsi="Arial" w:cs="Arial"/>
                <w:b/>
                <w:snapToGrid w:val="0"/>
                <w:sz w:val="20"/>
                <w:szCs w:val="20"/>
                <w:lang w:eastAsia="en-US"/>
              </w:rPr>
              <w:t>1</w:t>
            </w:r>
            <w:r w:rsidR="00D4625C" w:rsidRPr="005E77C9">
              <w:rPr>
                <w:rFonts w:ascii="Arial" w:hAnsi="Arial" w:cs="Arial"/>
                <w:b/>
                <w:snapToGrid w:val="0"/>
                <w:sz w:val="20"/>
                <w:szCs w:val="20"/>
                <w:lang w:eastAsia="en-US"/>
              </w:rPr>
              <w:t>8</w:t>
            </w:r>
            <w:r w:rsidRPr="005E77C9">
              <w:rPr>
                <w:rFonts w:ascii="Arial" w:hAnsi="Arial" w:cs="Arial"/>
                <w:b/>
                <w:snapToGrid w:val="0"/>
                <w:sz w:val="20"/>
                <w:szCs w:val="20"/>
                <w:lang w:eastAsia="en-US"/>
              </w:rPr>
              <w:t xml:space="preserve"> г.</w:t>
            </w:r>
          </w:p>
        </w:tc>
        <w:tc>
          <w:tcPr>
            <w:tcW w:w="1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B48E2" w:rsidRPr="005E77C9" w:rsidRDefault="004B48E2" w:rsidP="00217999">
            <w:pPr>
              <w:jc w:val="center"/>
              <w:rPr>
                <w:rFonts w:ascii="Arial" w:hAnsi="Arial" w:cs="Arial"/>
                <w:b/>
                <w:snapToGrid w:val="0"/>
                <w:sz w:val="20"/>
                <w:szCs w:val="20"/>
                <w:lang w:val="en-US" w:eastAsia="en-US"/>
              </w:rPr>
            </w:pPr>
            <w:r w:rsidRPr="005E77C9">
              <w:rPr>
                <w:rFonts w:ascii="Arial" w:hAnsi="Arial" w:cs="Arial"/>
                <w:b/>
                <w:snapToGrid w:val="0"/>
                <w:sz w:val="20"/>
                <w:szCs w:val="20"/>
                <w:lang w:val="ru-RU" w:eastAsia="en-US"/>
              </w:rPr>
              <w:t>Изменение</w:t>
            </w:r>
            <w:r w:rsidRPr="005E77C9">
              <w:rPr>
                <w:rFonts w:ascii="Arial" w:hAnsi="Arial" w:cs="Arial"/>
                <w:b/>
                <w:snapToGrid w:val="0"/>
                <w:sz w:val="20"/>
                <w:szCs w:val="20"/>
                <w:lang w:val="en-US" w:eastAsia="en-US"/>
              </w:rPr>
              <w:t xml:space="preserve"> (%)</w:t>
            </w:r>
          </w:p>
        </w:tc>
      </w:tr>
      <w:tr w:rsidR="00D4625C" w:rsidRPr="005E77C9" w:rsidTr="00135F12">
        <w:trPr>
          <w:trHeight w:val="278"/>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D4625C" w:rsidRPr="005E77C9" w:rsidRDefault="00D4625C" w:rsidP="00D4625C">
            <w:pPr>
              <w:pStyle w:val="FootnoteText"/>
              <w:ind w:left="201"/>
              <w:rPr>
                <w:rFonts w:ascii="Arial" w:hAnsi="Arial" w:cs="Arial"/>
              </w:rPr>
            </w:pPr>
            <w:r w:rsidRPr="005E77C9">
              <w:rPr>
                <w:rFonts w:ascii="Arial" w:hAnsi="Arial" w:cs="Arial"/>
              </w:rPr>
              <w:t>- приходи от претоварна дейност</w:t>
            </w:r>
          </w:p>
        </w:tc>
        <w:tc>
          <w:tcPr>
            <w:tcW w:w="1080" w:type="dxa"/>
            <w:tcBorders>
              <w:top w:val="nil"/>
              <w:left w:val="single" w:sz="4" w:space="0" w:color="auto"/>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lang w:eastAsia="bg-BG"/>
              </w:rPr>
            </w:pPr>
            <w:r w:rsidRPr="005E77C9">
              <w:rPr>
                <w:rFonts w:ascii="Arial" w:hAnsi="Arial" w:cs="Arial"/>
                <w:sz w:val="20"/>
                <w:szCs w:val="20"/>
              </w:rPr>
              <w:t>2 624</w:t>
            </w:r>
          </w:p>
        </w:tc>
        <w:tc>
          <w:tcPr>
            <w:tcW w:w="108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2 768</w:t>
            </w:r>
          </w:p>
        </w:tc>
        <w:tc>
          <w:tcPr>
            <w:tcW w:w="1355"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-5.2%</w:t>
            </w:r>
          </w:p>
        </w:tc>
        <w:tc>
          <w:tcPr>
            <w:tcW w:w="108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2 691</w:t>
            </w:r>
          </w:p>
        </w:tc>
        <w:tc>
          <w:tcPr>
            <w:tcW w:w="133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-2.5%</w:t>
            </w:r>
          </w:p>
        </w:tc>
      </w:tr>
      <w:tr w:rsidR="00D4625C" w:rsidRPr="005E77C9" w:rsidTr="00135F12">
        <w:trPr>
          <w:trHeight w:val="263"/>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D4625C" w:rsidRPr="005E77C9" w:rsidRDefault="00D4625C" w:rsidP="00D4625C">
            <w:pPr>
              <w:ind w:left="201"/>
              <w:rPr>
                <w:rFonts w:ascii="Arial" w:hAnsi="Arial" w:cs="Arial"/>
                <w:sz w:val="20"/>
                <w:szCs w:val="20"/>
                <w:lang w:val="en-US"/>
              </w:rPr>
            </w:pPr>
            <w:r w:rsidRPr="005E77C9">
              <w:rPr>
                <w:rFonts w:ascii="Arial" w:hAnsi="Arial" w:cs="Arial"/>
                <w:sz w:val="20"/>
                <w:szCs w:val="20"/>
              </w:rPr>
              <w:t>- разходи за претоварна дейност</w:t>
            </w:r>
          </w:p>
        </w:tc>
        <w:tc>
          <w:tcPr>
            <w:tcW w:w="1080" w:type="dxa"/>
            <w:tcBorders>
              <w:top w:val="nil"/>
              <w:left w:val="single" w:sz="4" w:space="0" w:color="auto"/>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2 363</w:t>
            </w:r>
          </w:p>
        </w:tc>
        <w:tc>
          <w:tcPr>
            <w:tcW w:w="108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2 270</w:t>
            </w:r>
          </w:p>
        </w:tc>
        <w:tc>
          <w:tcPr>
            <w:tcW w:w="1355"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4.1%</w:t>
            </w:r>
          </w:p>
        </w:tc>
        <w:tc>
          <w:tcPr>
            <w:tcW w:w="108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2 207</w:t>
            </w:r>
          </w:p>
        </w:tc>
        <w:tc>
          <w:tcPr>
            <w:tcW w:w="133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7.1%</w:t>
            </w:r>
          </w:p>
        </w:tc>
      </w:tr>
      <w:tr w:rsidR="00D4625C" w:rsidRPr="005E77C9" w:rsidTr="00135F12">
        <w:trPr>
          <w:trHeight w:val="401"/>
        </w:trPr>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625C" w:rsidRPr="005E77C9" w:rsidRDefault="00D4625C" w:rsidP="00D4625C">
            <w:pPr>
              <w:rPr>
                <w:rFonts w:ascii="Arial" w:hAnsi="Arial" w:cs="Arial"/>
                <w:b/>
                <w:sz w:val="20"/>
                <w:szCs w:val="20"/>
              </w:rPr>
            </w:pPr>
            <w:r w:rsidRPr="005E77C9">
              <w:rPr>
                <w:rFonts w:ascii="Arial" w:hAnsi="Arial" w:cs="Arial"/>
                <w:b/>
                <w:sz w:val="20"/>
                <w:szCs w:val="20"/>
              </w:rPr>
              <w:t>Печалба от претоварна дейност</w:t>
            </w:r>
          </w:p>
        </w:tc>
        <w:tc>
          <w:tcPr>
            <w:tcW w:w="1080" w:type="dxa"/>
            <w:tcBorders>
              <w:top w:val="nil"/>
              <w:left w:val="single" w:sz="4" w:space="0" w:color="auto"/>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b/>
                <w:bCs/>
                <w:sz w:val="20"/>
                <w:szCs w:val="20"/>
              </w:rPr>
            </w:pPr>
            <w:r w:rsidRPr="005E77C9">
              <w:rPr>
                <w:rFonts w:ascii="Arial" w:hAnsi="Arial" w:cs="Arial"/>
                <w:b/>
                <w:bCs/>
                <w:sz w:val="20"/>
                <w:szCs w:val="20"/>
              </w:rPr>
              <w:t>261</w:t>
            </w:r>
          </w:p>
        </w:tc>
        <w:tc>
          <w:tcPr>
            <w:tcW w:w="108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b/>
                <w:bCs/>
                <w:sz w:val="20"/>
                <w:szCs w:val="20"/>
              </w:rPr>
            </w:pPr>
            <w:r w:rsidRPr="005E77C9">
              <w:rPr>
                <w:rFonts w:ascii="Arial" w:hAnsi="Arial" w:cs="Arial"/>
                <w:b/>
                <w:bCs/>
                <w:sz w:val="20"/>
                <w:szCs w:val="20"/>
              </w:rPr>
              <w:t>498</w:t>
            </w:r>
          </w:p>
        </w:tc>
        <w:tc>
          <w:tcPr>
            <w:tcW w:w="1355"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b/>
                <w:bCs/>
                <w:sz w:val="20"/>
                <w:szCs w:val="20"/>
              </w:rPr>
            </w:pPr>
            <w:r w:rsidRPr="005E77C9">
              <w:rPr>
                <w:rFonts w:ascii="Arial" w:hAnsi="Arial" w:cs="Arial"/>
                <w:b/>
                <w:bCs/>
                <w:sz w:val="20"/>
                <w:szCs w:val="20"/>
              </w:rPr>
              <w:t>-47.6%</w:t>
            </w:r>
          </w:p>
        </w:tc>
        <w:tc>
          <w:tcPr>
            <w:tcW w:w="108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b/>
                <w:bCs/>
                <w:sz w:val="20"/>
                <w:szCs w:val="20"/>
              </w:rPr>
            </w:pPr>
            <w:r w:rsidRPr="005E77C9">
              <w:rPr>
                <w:rFonts w:ascii="Arial" w:hAnsi="Arial" w:cs="Arial"/>
                <w:b/>
                <w:bCs/>
                <w:sz w:val="20"/>
                <w:szCs w:val="20"/>
              </w:rPr>
              <w:t>484</w:t>
            </w:r>
          </w:p>
        </w:tc>
        <w:tc>
          <w:tcPr>
            <w:tcW w:w="133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b/>
                <w:bCs/>
                <w:sz w:val="20"/>
                <w:szCs w:val="20"/>
              </w:rPr>
            </w:pPr>
            <w:r w:rsidRPr="005E77C9">
              <w:rPr>
                <w:rFonts w:ascii="Arial" w:hAnsi="Arial" w:cs="Arial"/>
                <w:b/>
                <w:bCs/>
                <w:sz w:val="20"/>
                <w:szCs w:val="20"/>
              </w:rPr>
              <w:t>-46.1%</w:t>
            </w:r>
          </w:p>
        </w:tc>
      </w:tr>
      <w:tr w:rsidR="00D4625C" w:rsidRPr="005E77C9" w:rsidTr="00135F12">
        <w:trPr>
          <w:trHeight w:val="263"/>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D4625C" w:rsidRPr="005E77C9" w:rsidRDefault="00D4625C" w:rsidP="00D4625C">
            <w:pPr>
              <w:ind w:left="201"/>
              <w:rPr>
                <w:rFonts w:ascii="Arial" w:hAnsi="Arial" w:cs="Arial"/>
                <w:sz w:val="20"/>
                <w:szCs w:val="20"/>
              </w:rPr>
            </w:pPr>
            <w:r w:rsidRPr="005E77C9">
              <w:rPr>
                <w:rFonts w:ascii="Arial" w:hAnsi="Arial" w:cs="Arial"/>
                <w:sz w:val="20"/>
                <w:szCs w:val="20"/>
              </w:rPr>
              <w:t>- приходи от съхранение</w:t>
            </w:r>
          </w:p>
        </w:tc>
        <w:tc>
          <w:tcPr>
            <w:tcW w:w="1080" w:type="dxa"/>
            <w:tcBorders>
              <w:top w:val="nil"/>
              <w:left w:val="single" w:sz="4" w:space="0" w:color="auto"/>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1 919</w:t>
            </w:r>
          </w:p>
        </w:tc>
        <w:tc>
          <w:tcPr>
            <w:tcW w:w="108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1 978</w:t>
            </w:r>
          </w:p>
        </w:tc>
        <w:tc>
          <w:tcPr>
            <w:tcW w:w="1355"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-3.0%</w:t>
            </w:r>
          </w:p>
        </w:tc>
        <w:tc>
          <w:tcPr>
            <w:tcW w:w="108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1 987</w:t>
            </w:r>
          </w:p>
        </w:tc>
        <w:tc>
          <w:tcPr>
            <w:tcW w:w="133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-3.4%</w:t>
            </w:r>
          </w:p>
        </w:tc>
      </w:tr>
      <w:tr w:rsidR="00D4625C" w:rsidRPr="005E77C9" w:rsidTr="00135F12">
        <w:trPr>
          <w:trHeight w:val="263"/>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D4625C" w:rsidRPr="005E77C9" w:rsidRDefault="00D4625C" w:rsidP="00D4625C">
            <w:pPr>
              <w:ind w:left="201"/>
              <w:rPr>
                <w:rFonts w:ascii="Arial" w:hAnsi="Arial" w:cs="Arial"/>
                <w:sz w:val="20"/>
                <w:szCs w:val="20"/>
              </w:rPr>
            </w:pPr>
            <w:r w:rsidRPr="005E77C9">
              <w:rPr>
                <w:rFonts w:ascii="Arial" w:hAnsi="Arial" w:cs="Arial"/>
                <w:sz w:val="20"/>
                <w:szCs w:val="20"/>
              </w:rPr>
              <w:t>- разходи за съхранение</w:t>
            </w:r>
          </w:p>
        </w:tc>
        <w:tc>
          <w:tcPr>
            <w:tcW w:w="1080" w:type="dxa"/>
            <w:tcBorders>
              <w:top w:val="nil"/>
              <w:left w:val="single" w:sz="4" w:space="0" w:color="auto"/>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486</w:t>
            </w:r>
          </w:p>
        </w:tc>
        <w:tc>
          <w:tcPr>
            <w:tcW w:w="108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473</w:t>
            </w:r>
          </w:p>
        </w:tc>
        <w:tc>
          <w:tcPr>
            <w:tcW w:w="1355"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2.7%</w:t>
            </w:r>
          </w:p>
        </w:tc>
        <w:tc>
          <w:tcPr>
            <w:tcW w:w="108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471</w:t>
            </w:r>
          </w:p>
        </w:tc>
        <w:tc>
          <w:tcPr>
            <w:tcW w:w="133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3.2%</w:t>
            </w:r>
          </w:p>
        </w:tc>
      </w:tr>
      <w:tr w:rsidR="00D4625C" w:rsidRPr="005E77C9" w:rsidTr="00135F12">
        <w:trPr>
          <w:trHeight w:val="349"/>
        </w:trPr>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625C" w:rsidRPr="005E77C9" w:rsidRDefault="00D4625C" w:rsidP="00D4625C">
            <w:pPr>
              <w:rPr>
                <w:rFonts w:ascii="Arial" w:hAnsi="Arial" w:cs="Arial"/>
                <w:b/>
                <w:sz w:val="20"/>
                <w:szCs w:val="20"/>
              </w:rPr>
            </w:pPr>
            <w:r w:rsidRPr="005E77C9">
              <w:rPr>
                <w:rFonts w:ascii="Arial" w:hAnsi="Arial" w:cs="Arial"/>
                <w:b/>
                <w:sz w:val="20"/>
                <w:szCs w:val="20"/>
              </w:rPr>
              <w:t>Печалба от съхранение</w:t>
            </w:r>
          </w:p>
        </w:tc>
        <w:tc>
          <w:tcPr>
            <w:tcW w:w="1080" w:type="dxa"/>
            <w:tcBorders>
              <w:top w:val="nil"/>
              <w:left w:val="single" w:sz="4" w:space="0" w:color="auto"/>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b/>
                <w:bCs/>
                <w:sz w:val="20"/>
                <w:szCs w:val="20"/>
              </w:rPr>
            </w:pPr>
            <w:r w:rsidRPr="005E77C9">
              <w:rPr>
                <w:rFonts w:ascii="Arial" w:hAnsi="Arial" w:cs="Arial"/>
                <w:b/>
                <w:bCs/>
                <w:sz w:val="20"/>
                <w:szCs w:val="20"/>
              </w:rPr>
              <w:t>1 433</w:t>
            </w:r>
          </w:p>
        </w:tc>
        <w:tc>
          <w:tcPr>
            <w:tcW w:w="108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b/>
                <w:bCs/>
                <w:sz w:val="20"/>
                <w:szCs w:val="20"/>
              </w:rPr>
            </w:pPr>
            <w:r w:rsidRPr="005E77C9">
              <w:rPr>
                <w:rFonts w:ascii="Arial" w:hAnsi="Arial" w:cs="Arial"/>
                <w:b/>
                <w:bCs/>
                <w:sz w:val="20"/>
                <w:szCs w:val="20"/>
              </w:rPr>
              <w:t>1 505</w:t>
            </w:r>
          </w:p>
        </w:tc>
        <w:tc>
          <w:tcPr>
            <w:tcW w:w="1355"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b/>
                <w:bCs/>
                <w:sz w:val="20"/>
                <w:szCs w:val="20"/>
              </w:rPr>
            </w:pPr>
            <w:r w:rsidRPr="005E77C9">
              <w:rPr>
                <w:rFonts w:ascii="Arial" w:hAnsi="Arial" w:cs="Arial"/>
                <w:b/>
                <w:bCs/>
                <w:sz w:val="20"/>
                <w:szCs w:val="20"/>
              </w:rPr>
              <w:t>-4.8%</w:t>
            </w:r>
          </w:p>
        </w:tc>
        <w:tc>
          <w:tcPr>
            <w:tcW w:w="108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b/>
                <w:bCs/>
                <w:sz w:val="20"/>
                <w:szCs w:val="20"/>
              </w:rPr>
            </w:pPr>
            <w:r w:rsidRPr="005E77C9">
              <w:rPr>
                <w:rFonts w:ascii="Arial" w:hAnsi="Arial" w:cs="Arial"/>
                <w:b/>
                <w:bCs/>
                <w:sz w:val="20"/>
                <w:szCs w:val="20"/>
              </w:rPr>
              <w:t>1 516</w:t>
            </w:r>
          </w:p>
        </w:tc>
        <w:tc>
          <w:tcPr>
            <w:tcW w:w="133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b/>
                <w:bCs/>
                <w:sz w:val="20"/>
                <w:szCs w:val="20"/>
              </w:rPr>
            </w:pPr>
            <w:r w:rsidRPr="005E77C9">
              <w:rPr>
                <w:rFonts w:ascii="Arial" w:hAnsi="Arial" w:cs="Arial"/>
                <w:b/>
                <w:bCs/>
                <w:sz w:val="20"/>
                <w:szCs w:val="20"/>
              </w:rPr>
              <w:t>-5.5%</w:t>
            </w:r>
          </w:p>
        </w:tc>
      </w:tr>
      <w:tr w:rsidR="00D4625C" w:rsidRPr="005E77C9" w:rsidTr="00135F12">
        <w:trPr>
          <w:trHeight w:val="263"/>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D4625C" w:rsidRPr="005E77C9" w:rsidRDefault="00D4625C" w:rsidP="00D4625C">
            <w:pPr>
              <w:ind w:left="201"/>
              <w:rPr>
                <w:rFonts w:ascii="Arial" w:hAnsi="Arial" w:cs="Arial"/>
                <w:sz w:val="20"/>
                <w:szCs w:val="20"/>
              </w:rPr>
            </w:pPr>
            <w:r w:rsidRPr="005E77C9">
              <w:rPr>
                <w:rFonts w:ascii="Arial" w:hAnsi="Arial" w:cs="Arial"/>
                <w:sz w:val="20"/>
                <w:szCs w:val="20"/>
              </w:rPr>
              <w:t>- други приходи</w:t>
            </w:r>
          </w:p>
        </w:tc>
        <w:tc>
          <w:tcPr>
            <w:tcW w:w="1080" w:type="dxa"/>
            <w:tcBorders>
              <w:top w:val="nil"/>
              <w:left w:val="single" w:sz="4" w:space="0" w:color="auto"/>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1 105</w:t>
            </w:r>
          </w:p>
        </w:tc>
        <w:tc>
          <w:tcPr>
            <w:tcW w:w="108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531</w:t>
            </w:r>
          </w:p>
        </w:tc>
        <w:tc>
          <w:tcPr>
            <w:tcW w:w="1355"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108.1%</w:t>
            </w:r>
          </w:p>
        </w:tc>
        <w:tc>
          <w:tcPr>
            <w:tcW w:w="108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615</w:t>
            </w:r>
          </w:p>
        </w:tc>
        <w:tc>
          <w:tcPr>
            <w:tcW w:w="133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79.7%</w:t>
            </w:r>
          </w:p>
        </w:tc>
      </w:tr>
      <w:tr w:rsidR="00D4625C" w:rsidRPr="005E77C9" w:rsidTr="00135F12">
        <w:trPr>
          <w:trHeight w:val="263"/>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D4625C" w:rsidRPr="005E77C9" w:rsidRDefault="00D4625C" w:rsidP="00D4625C">
            <w:pPr>
              <w:ind w:left="201"/>
              <w:rPr>
                <w:rFonts w:ascii="Arial" w:hAnsi="Arial" w:cs="Arial"/>
                <w:sz w:val="20"/>
                <w:szCs w:val="20"/>
              </w:rPr>
            </w:pPr>
            <w:r w:rsidRPr="005E77C9">
              <w:rPr>
                <w:rFonts w:ascii="Arial" w:hAnsi="Arial" w:cs="Arial"/>
                <w:sz w:val="20"/>
                <w:szCs w:val="20"/>
              </w:rPr>
              <w:t>- други разходи</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2 243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1 987</w:t>
            </w:r>
          </w:p>
        </w:tc>
        <w:tc>
          <w:tcPr>
            <w:tcW w:w="1355" w:type="dxa"/>
            <w:tcBorders>
              <w:top w:val="single" w:sz="4" w:space="0" w:color="auto"/>
              <w:left w:val="single" w:sz="4" w:space="0" w:color="auto"/>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12.9%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2 005</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sz w:val="20"/>
                <w:szCs w:val="20"/>
              </w:rPr>
            </w:pPr>
            <w:r w:rsidRPr="005E77C9">
              <w:rPr>
                <w:rFonts w:ascii="Arial" w:hAnsi="Arial" w:cs="Arial"/>
                <w:sz w:val="20"/>
                <w:szCs w:val="20"/>
              </w:rPr>
              <w:t>11.9%</w:t>
            </w:r>
          </w:p>
        </w:tc>
      </w:tr>
      <w:tr w:rsidR="00D4625C" w:rsidRPr="005E77C9" w:rsidTr="00135F12">
        <w:trPr>
          <w:trHeight w:val="354"/>
        </w:trPr>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625C" w:rsidRPr="005E77C9" w:rsidRDefault="00D4625C" w:rsidP="00D4625C">
            <w:pPr>
              <w:rPr>
                <w:rFonts w:ascii="Arial" w:hAnsi="Arial" w:cs="Arial"/>
                <w:b/>
                <w:sz w:val="20"/>
                <w:szCs w:val="20"/>
              </w:rPr>
            </w:pPr>
            <w:r w:rsidRPr="005E77C9">
              <w:rPr>
                <w:rFonts w:ascii="Arial" w:hAnsi="Arial" w:cs="Arial"/>
                <w:b/>
                <w:sz w:val="20"/>
                <w:szCs w:val="20"/>
              </w:rPr>
              <w:t xml:space="preserve">Общо приходи от дейността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b/>
                <w:bCs/>
                <w:sz w:val="20"/>
                <w:szCs w:val="20"/>
              </w:rPr>
            </w:pPr>
            <w:r w:rsidRPr="005E77C9">
              <w:rPr>
                <w:rFonts w:ascii="Arial" w:hAnsi="Arial" w:cs="Arial"/>
                <w:b/>
                <w:bCs/>
                <w:sz w:val="20"/>
                <w:szCs w:val="20"/>
              </w:rPr>
              <w:t>5 648</w:t>
            </w:r>
          </w:p>
        </w:tc>
        <w:tc>
          <w:tcPr>
            <w:tcW w:w="1080" w:type="dxa"/>
            <w:tcBorders>
              <w:top w:val="single" w:sz="4" w:space="0" w:color="auto"/>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b/>
                <w:bCs/>
                <w:sz w:val="20"/>
                <w:szCs w:val="20"/>
              </w:rPr>
            </w:pPr>
            <w:r w:rsidRPr="005E77C9">
              <w:rPr>
                <w:rFonts w:ascii="Arial" w:hAnsi="Arial" w:cs="Arial"/>
                <w:b/>
                <w:bCs/>
                <w:sz w:val="20"/>
                <w:szCs w:val="20"/>
              </w:rPr>
              <w:t>5 277</w:t>
            </w:r>
          </w:p>
        </w:tc>
        <w:tc>
          <w:tcPr>
            <w:tcW w:w="1355" w:type="dxa"/>
            <w:tcBorders>
              <w:top w:val="single" w:sz="4" w:space="0" w:color="auto"/>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b/>
                <w:bCs/>
                <w:sz w:val="20"/>
                <w:szCs w:val="20"/>
              </w:rPr>
            </w:pPr>
            <w:r w:rsidRPr="005E77C9">
              <w:rPr>
                <w:rFonts w:ascii="Arial" w:hAnsi="Arial" w:cs="Arial"/>
                <w:b/>
                <w:bCs/>
                <w:sz w:val="20"/>
                <w:szCs w:val="20"/>
              </w:rPr>
              <w:t>7.0%</w:t>
            </w:r>
          </w:p>
        </w:tc>
        <w:tc>
          <w:tcPr>
            <w:tcW w:w="1080" w:type="dxa"/>
            <w:tcBorders>
              <w:top w:val="single" w:sz="4" w:space="0" w:color="auto"/>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b/>
                <w:bCs/>
                <w:sz w:val="20"/>
                <w:szCs w:val="20"/>
              </w:rPr>
            </w:pPr>
            <w:r w:rsidRPr="005E77C9">
              <w:rPr>
                <w:rFonts w:ascii="Arial" w:hAnsi="Arial" w:cs="Arial"/>
                <w:b/>
                <w:bCs/>
                <w:sz w:val="20"/>
                <w:szCs w:val="20"/>
              </w:rPr>
              <w:t>5 293</w:t>
            </w:r>
          </w:p>
        </w:tc>
        <w:tc>
          <w:tcPr>
            <w:tcW w:w="1330" w:type="dxa"/>
            <w:tcBorders>
              <w:top w:val="single" w:sz="4" w:space="0" w:color="auto"/>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b/>
                <w:bCs/>
                <w:sz w:val="20"/>
                <w:szCs w:val="20"/>
              </w:rPr>
            </w:pPr>
            <w:r w:rsidRPr="005E77C9">
              <w:rPr>
                <w:rFonts w:ascii="Arial" w:hAnsi="Arial" w:cs="Arial"/>
                <w:b/>
                <w:bCs/>
                <w:sz w:val="20"/>
                <w:szCs w:val="20"/>
              </w:rPr>
              <w:t>6.7%</w:t>
            </w:r>
          </w:p>
        </w:tc>
      </w:tr>
      <w:tr w:rsidR="00D4625C" w:rsidRPr="003D5468" w:rsidTr="00135F12">
        <w:trPr>
          <w:trHeight w:val="349"/>
        </w:trPr>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625C" w:rsidRPr="005E77C9" w:rsidRDefault="00D4625C" w:rsidP="00D4625C">
            <w:pPr>
              <w:rPr>
                <w:rFonts w:ascii="Arial" w:hAnsi="Arial" w:cs="Arial"/>
                <w:b/>
                <w:sz w:val="20"/>
                <w:szCs w:val="20"/>
              </w:rPr>
            </w:pPr>
            <w:r w:rsidRPr="005E77C9">
              <w:rPr>
                <w:rFonts w:ascii="Arial" w:hAnsi="Arial" w:cs="Arial"/>
                <w:b/>
                <w:sz w:val="20"/>
                <w:szCs w:val="20"/>
              </w:rPr>
              <w:t>Общо разходи за дейността</w:t>
            </w:r>
          </w:p>
        </w:tc>
        <w:tc>
          <w:tcPr>
            <w:tcW w:w="1080" w:type="dxa"/>
            <w:tcBorders>
              <w:top w:val="nil"/>
              <w:left w:val="single" w:sz="4" w:space="0" w:color="auto"/>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b/>
                <w:bCs/>
                <w:sz w:val="20"/>
                <w:szCs w:val="20"/>
              </w:rPr>
            </w:pPr>
            <w:r w:rsidRPr="005E77C9">
              <w:rPr>
                <w:rFonts w:ascii="Arial" w:hAnsi="Arial" w:cs="Arial"/>
                <w:b/>
                <w:bCs/>
                <w:sz w:val="20"/>
                <w:szCs w:val="20"/>
              </w:rPr>
              <w:t>5 092</w:t>
            </w:r>
          </w:p>
        </w:tc>
        <w:tc>
          <w:tcPr>
            <w:tcW w:w="108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b/>
                <w:bCs/>
                <w:sz w:val="20"/>
                <w:szCs w:val="20"/>
              </w:rPr>
            </w:pPr>
            <w:r w:rsidRPr="005E77C9">
              <w:rPr>
                <w:rFonts w:ascii="Arial" w:hAnsi="Arial" w:cs="Arial"/>
                <w:b/>
                <w:bCs/>
                <w:sz w:val="20"/>
                <w:szCs w:val="20"/>
              </w:rPr>
              <w:t>4 730</w:t>
            </w:r>
          </w:p>
        </w:tc>
        <w:tc>
          <w:tcPr>
            <w:tcW w:w="1355"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b/>
                <w:bCs/>
                <w:sz w:val="20"/>
                <w:szCs w:val="20"/>
              </w:rPr>
            </w:pPr>
            <w:r w:rsidRPr="005E77C9">
              <w:rPr>
                <w:rFonts w:ascii="Arial" w:hAnsi="Arial" w:cs="Arial"/>
                <w:b/>
                <w:bCs/>
                <w:sz w:val="20"/>
                <w:szCs w:val="20"/>
              </w:rPr>
              <w:t>7.7%</w:t>
            </w:r>
          </w:p>
        </w:tc>
        <w:tc>
          <w:tcPr>
            <w:tcW w:w="108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b/>
                <w:bCs/>
                <w:sz w:val="20"/>
                <w:szCs w:val="20"/>
              </w:rPr>
            </w:pPr>
            <w:r w:rsidRPr="005E77C9">
              <w:rPr>
                <w:rFonts w:ascii="Arial" w:hAnsi="Arial" w:cs="Arial"/>
                <w:b/>
                <w:bCs/>
                <w:sz w:val="20"/>
                <w:szCs w:val="20"/>
              </w:rPr>
              <w:t>4 683</w:t>
            </w:r>
          </w:p>
        </w:tc>
        <w:tc>
          <w:tcPr>
            <w:tcW w:w="1330" w:type="dxa"/>
            <w:tcBorders>
              <w:top w:val="nil"/>
              <w:left w:val="nil"/>
              <w:bottom w:val="single" w:sz="4" w:space="0" w:color="auto"/>
              <w:right w:val="single" w:sz="4" w:space="0" w:color="auto"/>
            </w:tcBorders>
            <w:shd w:val="clear" w:color="auto" w:fill="auto"/>
            <w:vAlign w:val="bottom"/>
          </w:tcPr>
          <w:p w:rsidR="00D4625C" w:rsidRPr="005E77C9" w:rsidRDefault="00D4625C" w:rsidP="00D4625C">
            <w:pPr>
              <w:jc w:val="right"/>
              <w:rPr>
                <w:rFonts w:ascii="Arial" w:hAnsi="Arial" w:cs="Arial"/>
                <w:b/>
                <w:bCs/>
                <w:sz w:val="20"/>
                <w:szCs w:val="20"/>
              </w:rPr>
            </w:pPr>
            <w:r w:rsidRPr="005E77C9">
              <w:rPr>
                <w:rFonts w:ascii="Arial" w:hAnsi="Arial" w:cs="Arial"/>
                <w:b/>
                <w:bCs/>
                <w:sz w:val="20"/>
                <w:szCs w:val="20"/>
              </w:rPr>
              <w:t>8.7%</w:t>
            </w:r>
          </w:p>
        </w:tc>
      </w:tr>
      <w:tr w:rsidR="00D4625C" w:rsidRPr="002B683F" w:rsidTr="00135F12">
        <w:trPr>
          <w:trHeight w:val="263"/>
        </w:trPr>
        <w:tc>
          <w:tcPr>
            <w:tcW w:w="4140" w:type="dxa"/>
            <w:tcBorders>
              <w:top w:val="single" w:sz="4" w:space="0" w:color="auto"/>
              <w:left w:val="single" w:sz="4" w:space="0" w:color="auto"/>
              <w:bottom w:val="single" w:sz="4" w:space="0" w:color="auto"/>
              <w:right w:val="single" w:sz="4" w:space="0" w:color="auto"/>
            </w:tcBorders>
            <w:shd w:val="clear" w:color="auto" w:fill="auto"/>
          </w:tcPr>
          <w:p w:rsidR="00D4625C" w:rsidRPr="002B683F" w:rsidRDefault="00D4625C" w:rsidP="00D4625C">
            <w:pPr>
              <w:pStyle w:val="FootnoteText"/>
              <w:rPr>
                <w:rFonts w:ascii="Arial" w:hAnsi="Arial" w:cs="Arial"/>
              </w:rPr>
            </w:pPr>
            <w:r w:rsidRPr="002B683F">
              <w:rPr>
                <w:rFonts w:ascii="Arial" w:hAnsi="Arial" w:cs="Arial"/>
              </w:rPr>
              <w:t>Приходи от продажби на 1 зает (в лева)</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D4625C" w:rsidRPr="002B683F" w:rsidRDefault="00D4625C" w:rsidP="00D4625C">
            <w:pPr>
              <w:jc w:val="right"/>
              <w:rPr>
                <w:rFonts w:ascii="Arial" w:hAnsi="Arial" w:cs="Arial"/>
                <w:sz w:val="20"/>
                <w:szCs w:val="20"/>
              </w:rPr>
            </w:pPr>
            <w:r w:rsidRPr="002B683F">
              <w:rPr>
                <w:rFonts w:ascii="Arial" w:hAnsi="Arial" w:cs="Arial"/>
                <w:sz w:val="20"/>
                <w:szCs w:val="20"/>
              </w:rPr>
              <w:t>46 295</w:t>
            </w:r>
          </w:p>
        </w:tc>
        <w:tc>
          <w:tcPr>
            <w:tcW w:w="1080" w:type="dxa"/>
            <w:tcBorders>
              <w:top w:val="single" w:sz="4" w:space="0" w:color="auto"/>
              <w:left w:val="nil"/>
              <w:bottom w:val="single" w:sz="4" w:space="0" w:color="auto"/>
              <w:right w:val="single" w:sz="4" w:space="0" w:color="auto"/>
            </w:tcBorders>
            <w:shd w:val="clear" w:color="000000" w:fill="FFFFFF"/>
            <w:vAlign w:val="bottom"/>
          </w:tcPr>
          <w:p w:rsidR="00D4625C" w:rsidRPr="002B683F" w:rsidRDefault="00D4625C" w:rsidP="00D4625C">
            <w:pPr>
              <w:jc w:val="right"/>
              <w:rPr>
                <w:rFonts w:ascii="Arial" w:hAnsi="Arial" w:cs="Arial"/>
                <w:sz w:val="20"/>
                <w:szCs w:val="20"/>
              </w:rPr>
            </w:pPr>
            <w:r w:rsidRPr="002B683F">
              <w:rPr>
                <w:rFonts w:ascii="Arial" w:hAnsi="Arial" w:cs="Arial"/>
                <w:sz w:val="20"/>
                <w:szCs w:val="20"/>
              </w:rPr>
              <w:t>42 216</w:t>
            </w:r>
          </w:p>
        </w:tc>
        <w:tc>
          <w:tcPr>
            <w:tcW w:w="1355" w:type="dxa"/>
            <w:tcBorders>
              <w:top w:val="single" w:sz="4" w:space="0" w:color="auto"/>
              <w:left w:val="nil"/>
              <w:bottom w:val="single" w:sz="4" w:space="0" w:color="auto"/>
              <w:right w:val="single" w:sz="4" w:space="0" w:color="auto"/>
            </w:tcBorders>
            <w:shd w:val="clear" w:color="000000" w:fill="FFFFFF"/>
            <w:vAlign w:val="bottom"/>
          </w:tcPr>
          <w:p w:rsidR="00D4625C" w:rsidRPr="002B683F" w:rsidRDefault="00D4625C" w:rsidP="00D4625C">
            <w:pPr>
              <w:jc w:val="right"/>
              <w:rPr>
                <w:rFonts w:ascii="Arial" w:hAnsi="Arial" w:cs="Arial"/>
                <w:sz w:val="20"/>
                <w:szCs w:val="20"/>
              </w:rPr>
            </w:pPr>
            <w:r w:rsidRPr="002B683F">
              <w:rPr>
                <w:rFonts w:ascii="Arial" w:hAnsi="Arial" w:cs="Arial"/>
                <w:sz w:val="20"/>
                <w:szCs w:val="20"/>
              </w:rPr>
              <w:t>9.7%</w:t>
            </w:r>
          </w:p>
        </w:tc>
        <w:tc>
          <w:tcPr>
            <w:tcW w:w="1080" w:type="dxa"/>
            <w:tcBorders>
              <w:top w:val="single" w:sz="4" w:space="0" w:color="auto"/>
              <w:left w:val="nil"/>
              <w:bottom w:val="single" w:sz="4" w:space="0" w:color="auto"/>
              <w:right w:val="single" w:sz="4" w:space="0" w:color="auto"/>
            </w:tcBorders>
            <w:shd w:val="clear" w:color="000000" w:fill="FFFFFF"/>
            <w:vAlign w:val="bottom"/>
          </w:tcPr>
          <w:p w:rsidR="00D4625C" w:rsidRPr="002B683F" w:rsidRDefault="00D4625C" w:rsidP="00D4625C">
            <w:pPr>
              <w:jc w:val="right"/>
              <w:rPr>
                <w:rFonts w:ascii="Arial" w:hAnsi="Arial" w:cs="Arial"/>
                <w:sz w:val="20"/>
                <w:szCs w:val="20"/>
              </w:rPr>
            </w:pPr>
            <w:r w:rsidRPr="002B683F">
              <w:rPr>
                <w:rFonts w:ascii="Arial" w:hAnsi="Arial" w:cs="Arial"/>
                <w:sz w:val="20"/>
                <w:szCs w:val="20"/>
              </w:rPr>
              <w:t>41 352</w:t>
            </w:r>
          </w:p>
        </w:tc>
        <w:tc>
          <w:tcPr>
            <w:tcW w:w="1330" w:type="dxa"/>
            <w:tcBorders>
              <w:top w:val="single" w:sz="4" w:space="0" w:color="auto"/>
              <w:left w:val="nil"/>
              <w:bottom w:val="single" w:sz="4" w:space="0" w:color="auto"/>
              <w:right w:val="single" w:sz="4" w:space="0" w:color="auto"/>
            </w:tcBorders>
            <w:shd w:val="clear" w:color="000000" w:fill="FFFFFF"/>
            <w:vAlign w:val="bottom"/>
          </w:tcPr>
          <w:p w:rsidR="00D4625C" w:rsidRPr="002B683F" w:rsidRDefault="00D4625C" w:rsidP="00D4625C">
            <w:pPr>
              <w:jc w:val="right"/>
              <w:rPr>
                <w:rFonts w:ascii="Arial" w:hAnsi="Arial" w:cs="Arial"/>
                <w:sz w:val="20"/>
                <w:szCs w:val="20"/>
              </w:rPr>
            </w:pPr>
            <w:r w:rsidRPr="002B683F">
              <w:rPr>
                <w:rFonts w:ascii="Arial" w:hAnsi="Arial" w:cs="Arial"/>
                <w:sz w:val="20"/>
                <w:szCs w:val="20"/>
              </w:rPr>
              <w:t>12.0%</w:t>
            </w:r>
          </w:p>
        </w:tc>
      </w:tr>
      <w:tr w:rsidR="00D4625C" w:rsidRPr="002B683F" w:rsidTr="00135F12">
        <w:trPr>
          <w:trHeight w:val="263"/>
        </w:trPr>
        <w:tc>
          <w:tcPr>
            <w:tcW w:w="4140" w:type="dxa"/>
            <w:tcBorders>
              <w:top w:val="single" w:sz="4" w:space="0" w:color="auto"/>
              <w:left w:val="single" w:sz="4" w:space="0" w:color="auto"/>
              <w:bottom w:val="single" w:sz="4" w:space="0" w:color="auto"/>
              <w:right w:val="single" w:sz="4" w:space="0" w:color="auto"/>
            </w:tcBorders>
            <w:shd w:val="clear" w:color="auto" w:fill="auto"/>
          </w:tcPr>
          <w:p w:rsidR="00D4625C" w:rsidRPr="002B683F" w:rsidRDefault="00D4625C" w:rsidP="00D4625C">
            <w:pPr>
              <w:rPr>
                <w:rFonts w:ascii="Arial" w:hAnsi="Arial" w:cs="Arial"/>
                <w:sz w:val="20"/>
                <w:szCs w:val="20"/>
              </w:rPr>
            </w:pPr>
            <w:r w:rsidRPr="002B683F">
              <w:rPr>
                <w:rFonts w:ascii="Arial" w:hAnsi="Arial" w:cs="Arial"/>
                <w:sz w:val="20"/>
                <w:szCs w:val="20"/>
              </w:rPr>
              <w:t>Разходи за дейността на 1 зает (в лева)</w:t>
            </w:r>
          </w:p>
        </w:tc>
        <w:tc>
          <w:tcPr>
            <w:tcW w:w="1080" w:type="dxa"/>
            <w:tcBorders>
              <w:top w:val="nil"/>
              <w:left w:val="single" w:sz="4" w:space="0" w:color="auto"/>
              <w:bottom w:val="single" w:sz="4" w:space="0" w:color="auto"/>
              <w:right w:val="single" w:sz="4" w:space="0" w:color="auto"/>
            </w:tcBorders>
            <w:shd w:val="clear" w:color="000000" w:fill="FFFFFF"/>
            <w:vAlign w:val="bottom"/>
          </w:tcPr>
          <w:p w:rsidR="00D4625C" w:rsidRPr="002B683F" w:rsidRDefault="00D4625C" w:rsidP="00D4625C">
            <w:pPr>
              <w:jc w:val="right"/>
              <w:rPr>
                <w:rFonts w:ascii="Arial" w:hAnsi="Arial" w:cs="Arial"/>
                <w:sz w:val="20"/>
                <w:szCs w:val="20"/>
              </w:rPr>
            </w:pPr>
            <w:r w:rsidRPr="002B683F">
              <w:rPr>
                <w:rFonts w:ascii="Arial" w:hAnsi="Arial" w:cs="Arial"/>
                <w:sz w:val="20"/>
                <w:szCs w:val="20"/>
              </w:rPr>
              <w:t>41 738</w:t>
            </w:r>
          </w:p>
        </w:tc>
        <w:tc>
          <w:tcPr>
            <w:tcW w:w="1080" w:type="dxa"/>
            <w:tcBorders>
              <w:top w:val="nil"/>
              <w:left w:val="nil"/>
              <w:bottom w:val="single" w:sz="4" w:space="0" w:color="auto"/>
              <w:right w:val="single" w:sz="4" w:space="0" w:color="auto"/>
            </w:tcBorders>
            <w:shd w:val="clear" w:color="000000" w:fill="FFFFFF"/>
            <w:vAlign w:val="bottom"/>
          </w:tcPr>
          <w:p w:rsidR="00D4625C" w:rsidRPr="002B683F" w:rsidRDefault="00D4625C" w:rsidP="00D4625C">
            <w:pPr>
              <w:jc w:val="right"/>
              <w:rPr>
                <w:rFonts w:ascii="Arial" w:hAnsi="Arial" w:cs="Arial"/>
                <w:sz w:val="20"/>
                <w:szCs w:val="20"/>
              </w:rPr>
            </w:pPr>
            <w:r w:rsidRPr="002B683F">
              <w:rPr>
                <w:rFonts w:ascii="Arial" w:hAnsi="Arial" w:cs="Arial"/>
                <w:sz w:val="20"/>
                <w:szCs w:val="20"/>
              </w:rPr>
              <w:t>37 840</w:t>
            </w:r>
          </w:p>
        </w:tc>
        <w:tc>
          <w:tcPr>
            <w:tcW w:w="1355" w:type="dxa"/>
            <w:tcBorders>
              <w:top w:val="nil"/>
              <w:left w:val="nil"/>
              <w:bottom w:val="single" w:sz="4" w:space="0" w:color="auto"/>
              <w:right w:val="single" w:sz="4" w:space="0" w:color="auto"/>
            </w:tcBorders>
            <w:shd w:val="clear" w:color="000000" w:fill="FFFFFF"/>
            <w:vAlign w:val="bottom"/>
          </w:tcPr>
          <w:p w:rsidR="00D4625C" w:rsidRPr="002B683F" w:rsidRDefault="00D4625C" w:rsidP="00D4625C">
            <w:pPr>
              <w:jc w:val="right"/>
              <w:rPr>
                <w:rFonts w:ascii="Arial" w:hAnsi="Arial" w:cs="Arial"/>
                <w:sz w:val="20"/>
                <w:szCs w:val="20"/>
              </w:rPr>
            </w:pPr>
            <w:r w:rsidRPr="002B683F">
              <w:rPr>
                <w:rFonts w:ascii="Arial" w:hAnsi="Arial" w:cs="Arial"/>
                <w:sz w:val="20"/>
                <w:szCs w:val="20"/>
              </w:rPr>
              <w:t>10.3%</w:t>
            </w:r>
          </w:p>
        </w:tc>
        <w:tc>
          <w:tcPr>
            <w:tcW w:w="1080" w:type="dxa"/>
            <w:tcBorders>
              <w:top w:val="nil"/>
              <w:left w:val="nil"/>
              <w:bottom w:val="single" w:sz="4" w:space="0" w:color="auto"/>
              <w:right w:val="single" w:sz="4" w:space="0" w:color="auto"/>
            </w:tcBorders>
            <w:shd w:val="clear" w:color="000000" w:fill="FFFFFF"/>
            <w:vAlign w:val="bottom"/>
          </w:tcPr>
          <w:p w:rsidR="00D4625C" w:rsidRPr="002B683F" w:rsidRDefault="00D4625C" w:rsidP="00D4625C">
            <w:pPr>
              <w:jc w:val="right"/>
              <w:rPr>
                <w:rFonts w:ascii="Arial" w:hAnsi="Arial" w:cs="Arial"/>
                <w:sz w:val="20"/>
                <w:szCs w:val="20"/>
              </w:rPr>
            </w:pPr>
            <w:r w:rsidRPr="002B683F">
              <w:rPr>
                <w:rFonts w:ascii="Arial" w:hAnsi="Arial" w:cs="Arial"/>
                <w:sz w:val="20"/>
                <w:szCs w:val="20"/>
              </w:rPr>
              <w:t>36 586</w:t>
            </w:r>
          </w:p>
        </w:tc>
        <w:tc>
          <w:tcPr>
            <w:tcW w:w="1330" w:type="dxa"/>
            <w:tcBorders>
              <w:top w:val="nil"/>
              <w:left w:val="nil"/>
              <w:bottom w:val="single" w:sz="4" w:space="0" w:color="auto"/>
              <w:right w:val="single" w:sz="4" w:space="0" w:color="auto"/>
            </w:tcBorders>
            <w:shd w:val="clear" w:color="000000" w:fill="FFFFFF"/>
            <w:vAlign w:val="bottom"/>
          </w:tcPr>
          <w:p w:rsidR="00D4625C" w:rsidRPr="002B683F" w:rsidRDefault="00D4625C" w:rsidP="00D4625C">
            <w:pPr>
              <w:jc w:val="right"/>
              <w:rPr>
                <w:rFonts w:ascii="Arial" w:hAnsi="Arial" w:cs="Arial"/>
                <w:sz w:val="20"/>
                <w:szCs w:val="20"/>
              </w:rPr>
            </w:pPr>
            <w:r w:rsidRPr="002B683F">
              <w:rPr>
                <w:rFonts w:ascii="Arial" w:hAnsi="Arial" w:cs="Arial"/>
                <w:sz w:val="20"/>
                <w:szCs w:val="20"/>
              </w:rPr>
              <w:t>14.1%</w:t>
            </w:r>
          </w:p>
        </w:tc>
      </w:tr>
      <w:tr w:rsidR="00D4625C" w:rsidRPr="002B683F" w:rsidTr="00135F12">
        <w:trPr>
          <w:trHeight w:val="607"/>
        </w:trPr>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625C" w:rsidRPr="002B683F" w:rsidRDefault="00D4625C" w:rsidP="00D4625C">
            <w:pPr>
              <w:rPr>
                <w:rFonts w:ascii="Arial" w:hAnsi="Arial" w:cs="Arial"/>
                <w:b/>
                <w:bCs/>
                <w:sz w:val="20"/>
                <w:szCs w:val="20"/>
              </w:rPr>
            </w:pPr>
            <w:r w:rsidRPr="002B683F">
              <w:rPr>
                <w:rFonts w:ascii="Arial" w:hAnsi="Arial" w:cs="Arial"/>
                <w:b/>
                <w:bCs/>
                <w:sz w:val="20"/>
                <w:szCs w:val="20"/>
              </w:rPr>
              <w:t>Печалба преди лихви и данъци</w:t>
            </w:r>
          </w:p>
          <w:p w:rsidR="00D4625C" w:rsidRPr="002B683F" w:rsidRDefault="00D4625C" w:rsidP="00D4625C">
            <w:pPr>
              <w:rPr>
                <w:rFonts w:ascii="Arial" w:hAnsi="Arial" w:cs="Arial"/>
                <w:b/>
                <w:bCs/>
                <w:sz w:val="20"/>
                <w:szCs w:val="20"/>
              </w:rPr>
            </w:pPr>
            <w:r w:rsidRPr="002B683F">
              <w:rPr>
                <w:rFonts w:ascii="Arial" w:hAnsi="Arial" w:cs="Arial"/>
                <w:b/>
                <w:bCs/>
                <w:sz w:val="20"/>
                <w:szCs w:val="20"/>
              </w:rPr>
              <w:t>на 1 зает (в лева)</w:t>
            </w:r>
          </w:p>
        </w:tc>
        <w:tc>
          <w:tcPr>
            <w:tcW w:w="1080" w:type="dxa"/>
            <w:tcBorders>
              <w:top w:val="nil"/>
              <w:left w:val="single" w:sz="4" w:space="0" w:color="auto"/>
              <w:bottom w:val="single" w:sz="4" w:space="0" w:color="auto"/>
              <w:right w:val="single" w:sz="4" w:space="0" w:color="auto"/>
            </w:tcBorders>
            <w:shd w:val="clear" w:color="000000" w:fill="FFFFFF"/>
            <w:vAlign w:val="bottom"/>
          </w:tcPr>
          <w:p w:rsidR="00D4625C" w:rsidRPr="002B683F" w:rsidRDefault="00D4625C" w:rsidP="00D4625C">
            <w:pPr>
              <w:jc w:val="right"/>
              <w:rPr>
                <w:rFonts w:ascii="Arial" w:hAnsi="Arial" w:cs="Arial"/>
                <w:b/>
                <w:bCs/>
                <w:sz w:val="20"/>
                <w:szCs w:val="20"/>
              </w:rPr>
            </w:pPr>
            <w:r w:rsidRPr="002B683F">
              <w:rPr>
                <w:rFonts w:ascii="Arial" w:hAnsi="Arial" w:cs="Arial"/>
                <w:b/>
                <w:bCs/>
                <w:sz w:val="20"/>
                <w:szCs w:val="20"/>
              </w:rPr>
              <w:t>4 557</w:t>
            </w:r>
          </w:p>
        </w:tc>
        <w:tc>
          <w:tcPr>
            <w:tcW w:w="1080" w:type="dxa"/>
            <w:tcBorders>
              <w:top w:val="nil"/>
              <w:left w:val="nil"/>
              <w:bottom w:val="single" w:sz="4" w:space="0" w:color="auto"/>
              <w:right w:val="single" w:sz="4" w:space="0" w:color="auto"/>
            </w:tcBorders>
            <w:shd w:val="clear" w:color="000000" w:fill="FFFFFF"/>
            <w:vAlign w:val="bottom"/>
          </w:tcPr>
          <w:p w:rsidR="00D4625C" w:rsidRPr="002B683F" w:rsidRDefault="00D4625C" w:rsidP="00D4625C">
            <w:pPr>
              <w:jc w:val="right"/>
              <w:rPr>
                <w:rFonts w:ascii="Arial" w:hAnsi="Arial" w:cs="Arial"/>
                <w:b/>
                <w:bCs/>
                <w:sz w:val="20"/>
                <w:szCs w:val="20"/>
              </w:rPr>
            </w:pPr>
            <w:r w:rsidRPr="002B683F">
              <w:rPr>
                <w:rFonts w:ascii="Arial" w:hAnsi="Arial" w:cs="Arial"/>
                <w:b/>
                <w:bCs/>
                <w:sz w:val="20"/>
                <w:szCs w:val="20"/>
              </w:rPr>
              <w:t>4 376</w:t>
            </w:r>
          </w:p>
        </w:tc>
        <w:tc>
          <w:tcPr>
            <w:tcW w:w="1355" w:type="dxa"/>
            <w:tcBorders>
              <w:top w:val="nil"/>
              <w:left w:val="nil"/>
              <w:bottom w:val="single" w:sz="4" w:space="0" w:color="auto"/>
              <w:right w:val="single" w:sz="4" w:space="0" w:color="auto"/>
            </w:tcBorders>
            <w:shd w:val="clear" w:color="000000" w:fill="FFFFFF"/>
            <w:vAlign w:val="bottom"/>
          </w:tcPr>
          <w:p w:rsidR="00D4625C" w:rsidRPr="002B683F" w:rsidRDefault="00D4625C" w:rsidP="00D4625C">
            <w:pPr>
              <w:jc w:val="right"/>
              <w:rPr>
                <w:rFonts w:ascii="Arial" w:hAnsi="Arial" w:cs="Arial"/>
                <w:b/>
                <w:bCs/>
                <w:sz w:val="20"/>
                <w:szCs w:val="20"/>
              </w:rPr>
            </w:pPr>
            <w:r w:rsidRPr="002B683F">
              <w:rPr>
                <w:rFonts w:ascii="Arial" w:hAnsi="Arial" w:cs="Arial"/>
                <w:b/>
                <w:bCs/>
                <w:sz w:val="20"/>
                <w:szCs w:val="20"/>
              </w:rPr>
              <w:t>4.1%</w:t>
            </w:r>
          </w:p>
        </w:tc>
        <w:tc>
          <w:tcPr>
            <w:tcW w:w="1080" w:type="dxa"/>
            <w:tcBorders>
              <w:top w:val="nil"/>
              <w:left w:val="nil"/>
              <w:bottom w:val="single" w:sz="4" w:space="0" w:color="auto"/>
              <w:right w:val="single" w:sz="4" w:space="0" w:color="auto"/>
            </w:tcBorders>
            <w:shd w:val="clear" w:color="000000" w:fill="FFFFFF"/>
            <w:vAlign w:val="bottom"/>
          </w:tcPr>
          <w:p w:rsidR="00D4625C" w:rsidRPr="002B683F" w:rsidRDefault="00D4625C" w:rsidP="00D4625C">
            <w:pPr>
              <w:jc w:val="right"/>
              <w:rPr>
                <w:rFonts w:ascii="Arial" w:hAnsi="Arial" w:cs="Arial"/>
                <w:b/>
                <w:bCs/>
                <w:sz w:val="20"/>
                <w:szCs w:val="20"/>
              </w:rPr>
            </w:pPr>
            <w:r w:rsidRPr="002B683F">
              <w:rPr>
                <w:rFonts w:ascii="Arial" w:hAnsi="Arial" w:cs="Arial"/>
                <w:b/>
                <w:bCs/>
                <w:sz w:val="20"/>
                <w:szCs w:val="20"/>
              </w:rPr>
              <w:t>4 766</w:t>
            </w:r>
          </w:p>
        </w:tc>
        <w:tc>
          <w:tcPr>
            <w:tcW w:w="1330" w:type="dxa"/>
            <w:tcBorders>
              <w:top w:val="nil"/>
              <w:left w:val="nil"/>
              <w:bottom w:val="single" w:sz="4" w:space="0" w:color="auto"/>
              <w:right w:val="single" w:sz="4" w:space="0" w:color="auto"/>
            </w:tcBorders>
            <w:shd w:val="clear" w:color="000000" w:fill="FFFFFF"/>
            <w:vAlign w:val="bottom"/>
          </w:tcPr>
          <w:p w:rsidR="00D4625C" w:rsidRPr="002B683F" w:rsidRDefault="00D4625C" w:rsidP="00D4625C">
            <w:pPr>
              <w:jc w:val="right"/>
              <w:rPr>
                <w:rFonts w:ascii="Arial" w:hAnsi="Arial" w:cs="Arial"/>
                <w:b/>
                <w:bCs/>
                <w:sz w:val="20"/>
                <w:szCs w:val="20"/>
              </w:rPr>
            </w:pPr>
            <w:r w:rsidRPr="002B683F">
              <w:rPr>
                <w:rFonts w:ascii="Arial" w:hAnsi="Arial" w:cs="Arial"/>
                <w:b/>
                <w:bCs/>
                <w:sz w:val="20"/>
                <w:szCs w:val="20"/>
              </w:rPr>
              <w:t>-4.4%</w:t>
            </w:r>
          </w:p>
        </w:tc>
      </w:tr>
      <w:bookmarkEnd w:id="55"/>
    </w:tbl>
    <w:p w:rsidR="000C0391" w:rsidRPr="002B683F" w:rsidRDefault="000C0391" w:rsidP="000C0391">
      <w:pPr>
        <w:ind w:firstLine="284"/>
        <w:jc w:val="both"/>
        <w:rPr>
          <w:rFonts w:eastAsia="Times New Roman"/>
          <w:lang w:eastAsia="bg-BG"/>
        </w:rPr>
      </w:pPr>
    </w:p>
    <w:p w:rsidR="000C7B41" w:rsidRPr="005E77C9" w:rsidRDefault="006F7A0B" w:rsidP="00534C70">
      <w:pPr>
        <w:ind w:firstLine="709"/>
        <w:jc w:val="both"/>
        <w:rPr>
          <w:rFonts w:eastAsia="Times New Roman"/>
          <w:lang w:eastAsia="bg-BG"/>
        </w:rPr>
      </w:pPr>
      <w:bookmarkStart w:id="56" w:name="_Hlk506994866"/>
      <w:r w:rsidRPr="002B683F">
        <w:rPr>
          <w:noProof/>
          <w:lang w:eastAsia="bg-BG"/>
        </w:rPr>
        <w:lastRenderedPageBreak/>
        <w:drawing>
          <wp:anchor distT="0" distB="0" distL="114300" distR="114300" simplePos="0" relativeHeight="251663360" behindDoc="0" locked="0" layoutInCell="1" allowOverlap="1" wp14:anchorId="7EED19D4" wp14:editId="6904D379">
            <wp:simplePos x="0" y="0"/>
            <wp:positionH relativeFrom="column">
              <wp:posOffset>3188610</wp:posOffset>
            </wp:positionH>
            <wp:positionV relativeFrom="paragraph">
              <wp:posOffset>800879</wp:posOffset>
            </wp:positionV>
            <wp:extent cx="3114675" cy="1971675"/>
            <wp:effectExtent l="0" t="0" r="0" b="0"/>
            <wp:wrapTopAndBottom/>
            <wp:docPr id="15" name="Диаграма 15">
              <a:extLst xmlns:a="http://schemas.openxmlformats.org/drawingml/2006/main">
                <a:ext uri="{FF2B5EF4-FFF2-40B4-BE49-F238E27FC236}">
                  <a16:creationId xmlns:a16="http://schemas.microsoft.com/office/drawing/2014/main" id="{CA6F6452-D327-405B-A731-8691670D1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2B683F">
        <w:rPr>
          <w:noProof/>
          <w:lang w:eastAsia="bg-BG"/>
        </w:rPr>
        <w:drawing>
          <wp:anchor distT="0" distB="0" distL="114300" distR="114300" simplePos="0" relativeHeight="251656192" behindDoc="0" locked="0" layoutInCell="1" allowOverlap="1" wp14:anchorId="71875BCB" wp14:editId="70D970C1">
            <wp:simplePos x="0" y="0"/>
            <wp:positionH relativeFrom="column">
              <wp:posOffset>17252</wp:posOffset>
            </wp:positionH>
            <wp:positionV relativeFrom="paragraph">
              <wp:posOffset>806774</wp:posOffset>
            </wp:positionV>
            <wp:extent cx="3124200" cy="1981200"/>
            <wp:effectExtent l="0" t="0" r="0" b="0"/>
            <wp:wrapTopAndBottom/>
            <wp:docPr id="10" name="Диаграма 10">
              <a:extLst xmlns:a="http://schemas.openxmlformats.org/drawingml/2006/main">
                <a:ext uri="{FF2B5EF4-FFF2-40B4-BE49-F238E27FC236}">
                  <a16:creationId xmlns:a16="http://schemas.microsoft.com/office/drawing/2014/main" id="{B79C2574-7555-4E3E-993A-08D37367EF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2B683F">
        <w:t>За 2019</w:t>
      </w:r>
      <w:r w:rsidRPr="002B683F">
        <w:rPr>
          <w:lang w:val="en-US"/>
        </w:rPr>
        <w:t xml:space="preserve"> </w:t>
      </w:r>
      <w:r w:rsidRPr="002B683F">
        <w:t xml:space="preserve">г. приходите от основната </w:t>
      </w:r>
      <w:r w:rsidRPr="002B683F">
        <w:rPr>
          <w:u w:val="single"/>
        </w:rPr>
        <w:t>претоварна дейност</w:t>
      </w:r>
      <w:r w:rsidRPr="002B683F">
        <w:t xml:space="preserve"> намаляват с -67 хил.</w:t>
      </w:r>
      <w:r w:rsidR="00BB77A4" w:rsidRPr="002B683F">
        <w:t xml:space="preserve"> </w:t>
      </w:r>
      <w:r w:rsidRPr="002B683F">
        <w:t xml:space="preserve">лв. </w:t>
      </w:r>
      <w:r w:rsidR="00D9165E" w:rsidRPr="002B683F">
        <w:t>(</w:t>
      </w:r>
      <w:r w:rsidRPr="002B683F">
        <w:t>-2,5%</w:t>
      </w:r>
      <w:r w:rsidR="00D9165E" w:rsidRPr="002B683F">
        <w:t>)</w:t>
      </w:r>
      <w:r w:rsidRPr="002B683F">
        <w:t>,</w:t>
      </w:r>
      <w:r w:rsidRPr="005E77C9">
        <w:t xml:space="preserve"> същевременно разходите за тази първостепенна дейност на комплекса се увеличават със 156 хил.</w:t>
      </w:r>
      <w:r w:rsidR="00BB77A4" w:rsidRPr="005E77C9">
        <w:t xml:space="preserve"> </w:t>
      </w:r>
      <w:r w:rsidRPr="005E77C9">
        <w:t xml:space="preserve">лв. </w:t>
      </w:r>
      <w:r w:rsidR="00D9165E" w:rsidRPr="005E77C9">
        <w:t>(</w:t>
      </w:r>
      <w:r w:rsidRPr="005E77C9">
        <w:t>7%</w:t>
      </w:r>
      <w:r w:rsidR="00D9165E" w:rsidRPr="005E77C9">
        <w:t>)</w:t>
      </w:r>
      <w:r w:rsidRPr="005E77C9">
        <w:t xml:space="preserve">. Към края на 2019 г. дружеството отчита </w:t>
      </w:r>
      <w:r w:rsidRPr="005E77C9">
        <w:rPr>
          <w:u w:val="single"/>
        </w:rPr>
        <w:t>печалба от тази дейност в размер на 261 хил.</w:t>
      </w:r>
      <w:r w:rsidR="00BB77A4" w:rsidRPr="005E77C9">
        <w:rPr>
          <w:u w:val="single"/>
        </w:rPr>
        <w:t xml:space="preserve"> </w:t>
      </w:r>
      <w:r w:rsidRPr="005E77C9">
        <w:rPr>
          <w:u w:val="single"/>
        </w:rPr>
        <w:t>лв</w:t>
      </w:r>
      <w:r w:rsidRPr="005E77C9">
        <w:t xml:space="preserve">., което е с -223 </w:t>
      </w:r>
      <w:bookmarkStart w:id="57" w:name="_Hlk33710687"/>
      <w:r w:rsidRPr="005E77C9">
        <w:t>хил.</w:t>
      </w:r>
      <w:r w:rsidR="00BB77A4" w:rsidRPr="005E77C9">
        <w:t xml:space="preserve"> </w:t>
      </w:r>
      <w:r w:rsidRPr="005E77C9">
        <w:t>лв</w:t>
      </w:r>
      <w:r w:rsidR="00BB77A4" w:rsidRPr="005E77C9">
        <w:t>.</w:t>
      </w:r>
      <w:bookmarkEnd w:id="57"/>
      <w:r w:rsidRPr="005E77C9">
        <w:t xml:space="preserve"> по-малко или -46% намаление спрямо резултата от 2018 г</w:t>
      </w:r>
      <w:r w:rsidR="000C0391" w:rsidRPr="005E77C9">
        <w:rPr>
          <w:rFonts w:eastAsia="Times New Roman"/>
          <w:lang w:eastAsia="bg-BG"/>
        </w:rPr>
        <w:t>.</w:t>
      </w:r>
      <w:bookmarkEnd w:id="56"/>
    </w:p>
    <w:p w:rsidR="00534C70" w:rsidRPr="005E77C9" w:rsidRDefault="00534C70" w:rsidP="000C7B41">
      <w:pPr>
        <w:ind w:firstLine="284"/>
        <w:jc w:val="both"/>
        <w:rPr>
          <w:rFonts w:eastAsia="Times New Roman"/>
          <w:lang w:eastAsia="bg-BG"/>
        </w:rPr>
      </w:pPr>
    </w:p>
    <w:p w:rsidR="006F7A0B" w:rsidRPr="005E77C9" w:rsidRDefault="006F7A0B" w:rsidP="006F7A0B">
      <w:pPr>
        <w:spacing w:after="120"/>
        <w:ind w:firstLine="709"/>
        <w:jc w:val="both"/>
      </w:pPr>
      <w:r w:rsidRPr="005E77C9">
        <w:t>За 2019</w:t>
      </w:r>
      <w:r w:rsidRPr="005E77C9">
        <w:rPr>
          <w:lang w:val="en-US"/>
        </w:rPr>
        <w:t xml:space="preserve"> </w:t>
      </w:r>
      <w:r w:rsidRPr="005E77C9">
        <w:t xml:space="preserve">г. дружеството отчита постъпления от </w:t>
      </w:r>
      <w:r w:rsidRPr="005E77C9">
        <w:rPr>
          <w:u w:val="single"/>
        </w:rPr>
        <w:t>складовата си дейност</w:t>
      </w:r>
      <w:r w:rsidRPr="005E77C9">
        <w:t xml:space="preserve"> в размер на  1 919 </w:t>
      </w:r>
      <w:r w:rsidR="00BB77A4" w:rsidRPr="005E77C9">
        <w:t xml:space="preserve">хил. лв. </w:t>
      </w:r>
      <w:r w:rsidRPr="005E77C9">
        <w:t xml:space="preserve">при 1 987 </w:t>
      </w:r>
      <w:r w:rsidR="00BB77A4" w:rsidRPr="005E77C9">
        <w:t xml:space="preserve">хил. лв. </w:t>
      </w:r>
      <w:r w:rsidRPr="005E77C9">
        <w:t>за предходната година, налице е намаление от -68 хил.</w:t>
      </w:r>
      <w:r w:rsidR="00BB77A4" w:rsidRPr="005E77C9">
        <w:t xml:space="preserve"> </w:t>
      </w:r>
      <w:r w:rsidRPr="005E77C9">
        <w:t xml:space="preserve">лв. </w:t>
      </w:r>
      <w:r w:rsidR="00D9165E" w:rsidRPr="005E77C9">
        <w:t>(</w:t>
      </w:r>
      <w:r w:rsidRPr="005E77C9">
        <w:t>-3%</w:t>
      </w:r>
      <w:r w:rsidR="00D9165E" w:rsidRPr="005E77C9">
        <w:t>)</w:t>
      </w:r>
      <w:r w:rsidRPr="005E77C9">
        <w:t>. Разходите за складова дейност към края на 2019 г. възлизат на 486 хил. лв., което е с 15 хил.</w:t>
      </w:r>
      <w:r w:rsidR="00BB77A4" w:rsidRPr="005E77C9">
        <w:t xml:space="preserve"> </w:t>
      </w:r>
      <w:r w:rsidRPr="005E77C9">
        <w:t xml:space="preserve">лв. </w:t>
      </w:r>
      <w:r w:rsidR="00D9165E" w:rsidRPr="005E77C9">
        <w:t>(</w:t>
      </w:r>
      <w:r w:rsidRPr="005E77C9">
        <w:t>3%</w:t>
      </w:r>
      <w:r w:rsidR="00D9165E" w:rsidRPr="005E77C9">
        <w:t>)</w:t>
      </w:r>
      <w:r w:rsidRPr="005E77C9">
        <w:t xml:space="preserve"> повече от отчетеното за 2018 г. В резултат на горната динамика, </w:t>
      </w:r>
      <w:r w:rsidRPr="005E77C9">
        <w:rPr>
          <w:u w:val="single"/>
        </w:rPr>
        <w:t>печалбата от съхранение</w:t>
      </w:r>
      <w:r w:rsidRPr="005E77C9">
        <w:t xml:space="preserve"> през 2019 г. </w:t>
      </w:r>
      <w:r w:rsidRPr="005E77C9">
        <w:rPr>
          <w:u w:val="single"/>
        </w:rPr>
        <w:t>възлиза на 1 433 хил. лв.,</w:t>
      </w:r>
      <w:r w:rsidRPr="005E77C9">
        <w:t xml:space="preserve"> като в сравнение с отчетената през 2018 г., тя намалява с -83 хил.</w:t>
      </w:r>
      <w:r w:rsidR="00BB77A4" w:rsidRPr="005E77C9">
        <w:t xml:space="preserve"> </w:t>
      </w:r>
      <w:r w:rsidRPr="005E77C9">
        <w:t xml:space="preserve">лв. или -5,5 %. </w:t>
      </w:r>
    </w:p>
    <w:p w:rsidR="006F7A0B" w:rsidRPr="005E77C9" w:rsidRDefault="006F7A0B" w:rsidP="006F7A0B">
      <w:pPr>
        <w:shd w:val="clear" w:color="auto" w:fill="FFFFFF"/>
        <w:spacing w:after="120"/>
        <w:ind w:firstLine="709"/>
        <w:jc w:val="both"/>
      </w:pPr>
      <w:r w:rsidRPr="005E77C9">
        <w:t xml:space="preserve">След елиминиране на сумата от Оперативна програма „РЧР“, отразена в </w:t>
      </w:r>
      <w:r w:rsidRPr="005E77C9">
        <w:rPr>
          <w:i/>
        </w:rPr>
        <w:t>други приходи</w:t>
      </w:r>
      <w:r w:rsidRPr="005E77C9">
        <w:t xml:space="preserve"> и </w:t>
      </w:r>
      <w:r w:rsidRPr="005E77C9">
        <w:rPr>
          <w:i/>
        </w:rPr>
        <w:t>други разходи</w:t>
      </w:r>
      <w:r w:rsidRPr="005E77C9">
        <w:t xml:space="preserve">, размера на другите приходи (понтонна услуга, портфлот, експедиция и кантария и др.) става в размер на </w:t>
      </w:r>
      <w:r w:rsidRPr="005E77C9">
        <w:rPr>
          <w:lang w:val="en-US"/>
        </w:rPr>
        <w:t>934</w:t>
      </w:r>
      <w:r w:rsidRPr="005E77C9">
        <w:t xml:space="preserve"> хил.</w:t>
      </w:r>
      <w:r w:rsidR="00BB77A4" w:rsidRPr="005E77C9">
        <w:t xml:space="preserve"> </w:t>
      </w:r>
      <w:r w:rsidRPr="005E77C9">
        <w:t xml:space="preserve">лв., което е увеличение с </w:t>
      </w:r>
      <w:r w:rsidRPr="005E77C9">
        <w:rPr>
          <w:lang w:val="en-US"/>
        </w:rPr>
        <w:t>52</w:t>
      </w:r>
      <w:r w:rsidRPr="005E77C9">
        <w:t xml:space="preserve">% </w:t>
      </w:r>
      <w:r w:rsidR="00D9165E" w:rsidRPr="005E77C9">
        <w:t>(</w:t>
      </w:r>
      <w:r w:rsidRPr="005E77C9">
        <w:t>3</w:t>
      </w:r>
      <w:r w:rsidRPr="005E77C9">
        <w:rPr>
          <w:lang w:val="en-US"/>
        </w:rPr>
        <w:t>19</w:t>
      </w:r>
      <w:r w:rsidRPr="005E77C9">
        <w:t xml:space="preserve"> хил.</w:t>
      </w:r>
      <w:r w:rsidR="00BB77A4" w:rsidRPr="005E77C9">
        <w:t xml:space="preserve"> </w:t>
      </w:r>
      <w:r w:rsidRPr="005E77C9">
        <w:t>лв.</w:t>
      </w:r>
      <w:r w:rsidR="00D9165E" w:rsidRPr="005E77C9">
        <w:t>)</w:t>
      </w:r>
      <w:r w:rsidRPr="005E77C9">
        <w:t xml:space="preserve"> в сравнение с предходната година.</w:t>
      </w:r>
    </w:p>
    <w:p w:rsidR="006F7A0B" w:rsidRPr="005E77C9" w:rsidRDefault="006F7A0B" w:rsidP="006F7A0B">
      <w:pPr>
        <w:shd w:val="clear" w:color="auto" w:fill="FFFFFF"/>
        <w:spacing w:after="120"/>
        <w:ind w:firstLine="709"/>
        <w:jc w:val="both"/>
      </w:pPr>
      <w:r w:rsidRPr="005E77C9">
        <w:t>В това перо през 2019г. влизат посочените по-горе 184 хил.</w:t>
      </w:r>
      <w:r w:rsidR="00BB77A4" w:rsidRPr="005E77C9">
        <w:t xml:space="preserve"> </w:t>
      </w:r>
      <w:r w:rsidRPr="005E77C9">
        <w:t>лв. от изплатените пари от първата частична сметка за разпределение на приети вземания към КТБ АД.</w:t>
      </w:r>
    </w:p>
    <w:p w:rsidR="00F36D5E" w:rsidRPr="005E77C9" w:rsidRDefault="006F7A0B" w:rsidP="006F7A0B">
      <w:pPr>
        <w:spacing w:after="120"/>
        <w:ind w:firstLine="709"/>
        <w:jc w:val="both"/>
      </w:pPr>
      <w:r w:rsidRPr="005E77C9">
        <w:t xml:space="preserve">Същевременно </w:t>
      </w:r>
      <w:r w:rsidRPr="005E77C9">
        <w:rPr>
          <w:i/>
        </w:rPr>
        <w:t>разходите за други дейности</w:t>
      </w:r>
      <w:r w:rsidRPr="005E77C9">
        <w:t xml:space="preserve"> на дружеството след елиминирането на сумата от Оперативна програма „РЧР“ са в размер на 2 072 хил</w:t>
      </w:r>
      <w:r w:rsidR="00BB77A4" w:rsidRPr="005E77C9">
        <w:t xml:space="preserve">. </w:t>
      </w:r>
      <w:r w:rsidRPr="005E77C9">
        <w:t xml:space="preserve">лв., което е с 3% </w:t>
      </w:r>
      <w:r w:rsidR="00D9165E" w:rsidRPr="005E77C9">
        <w:t>(</w:t>
      </w:r>
      <w:r w:rsidRPr="005E77C9">
        <w:t>67 хил.</w:t>
      </w:r>
      <w:r w:rsidR="00BB77A4" w:rsidRPr="005E77C9">
        <w:t xml:space="preserve"> </w:t>
      </w:r>
      <w:r w:rsidRPr="005E77C9">
        <w:t>лв.</w:t>
      </w:r>
      <w:r w:rsidR="00D9165E" w:rsidRPr="005E77C9">
        <w:t>)</w:t>
      </w:r>
      <w:r w:rsidRPr="005E77C9">
        <w:t xml:space="preserve"> повече спрямо 2018</w:t>
      </w:r>
      <w:r w:rsidRPr="005E77C9">
        <w:rPr>
          <w:sz w:val="26"/>
          <w:szCs w:val="26"/>
          <w:lang w:val="en-US"/>
        </w:rPr>
        <w:t xml:space="preserve"> </w:t>
      </w:r>
      <w:r w:rsidRPr="005E77C9">
        <w:rPr>
          <w:szCs w:val="26"/>
        </w:rPr>
        <w:t>г</w:t>
      </w:r>
      <w:r w:rsidR="00F36D5E" w:rsidRPr="005E77C9">
        <w:t xml:space="preserve">. </w:t>
      </w:r>
    </w:p>
    <w:p w:rsidR="004A394F" w:rsidRPr="005E77C9" w:rsidRDefault="00F178DE" w:rsidP="00DD76F5">
      <w:pPr>
        <w:pStyle w:val="Heading2"/>
        <w:numPr>
          <w:ilvl w:val="1"/>
          <w:numId w:val="2"/>
        </w:numPr>
        <w:tabs>
          <w:tab w:val="num" w:pos="540"/>
        </w:tabs>
        <w:spacing w:before="240" w:after="120"/>
        <w:rPr>
          <w:rFonts w:ascii="Times New Roman" w:hAnsi="Times New Roman"/>
          <w:i/>
          <w:sz w:val="24"/>
          <w:u w:val="single"/>
        </w:rPr>
      </w:pPr>
      <w:bookmarkStart w:id="58" w:name="_Toc288478118"/>
      <w:bookmarkStart w:id="59" w:name="_Toc40777302"/>
      <w:r w:rsidRPr="005E77C9">
        <w:rPr>
          <w:rFonts w:ascii="Times New Roman" w:hAnsi="Times New Roman"/>
          <w:i/>
          <w:sz w:val="24"/>
          <w:u w:val="single"/>
        </w:rPr>
        <w:t xml:space="preserve">5) </w:t>
      </w:r>
      <w:r w:rsidR="004A394F" w:rsidRPr="005E77C9">
        <w:rPr>
          <w:rFonts w:ascii="Times New Roman" w:hAnsi="Times New Roman"/>
          <w:i/>
          <w:smallCaps/>
          <w:sz w:val="24"/>
          <w:u w:val="single"/>
        </w:rPr>
        <w:t>Анализ на финансовите приходи и разходи</w:t>
      </w:r>
      <w:bookmarkEnd w:id="58"/>
      <w:bookmarkEnd w:id="59"/>
    </w:p>
    <w:p w:rsidR="00F21E12" w:rsidRPr="005E77C9" w:rsidRDefault="0015326C" w:rsidP="00F21E12">
      <w:pPr>
        <w:spacing w:after="60"/>
        <w:ind w:firstLine="709"/>
        <w:jc w:val="both"/>
      </w:pPr>
      <w:bookmarkStart w:id="60" w:name="_Hlk506994765"/>
      <w:r w:rsidRPr="005E77C9">
        <w:t>За</w:t>
      </w:r>
      <w:r w:rsidR="000C0391" w:rsidRPr="005E77C9">
        <w:t xml:space="preserve"> </w:t>
      </w:r>
      <w:bookmarkEnd w:id="60"/>
      <w:r w:rsidR="00F21E12" w:rsidRPr="005E77C9">
        <w:t>201</w:t>
      </w:r>
      <w:r w:rsidR="004C3272" w:rsidRPr="005E77C9">
        <w:t>9</w:t>
      </w:r>
      <w:r w:rsidR="00F21E12" w:rsidRPr="005E77C9">
        <w:t xml:space="preserve">г. дружеството реализира положителен нетен резултат от финансовите си приходи и разходи от </w:t>
      </w:r>
      <w:r w:rsidR="004C3272" w:rsidRPr="005E77C9">
        <w:t>6</w:t>
      </w:r>
      <w:r w:rsidR="00F21E12" w:rsidRPr="005E77C9">
        <w:t xml:space="preserve"> хил.</w:t>
      </w:r>
      <w:r w:rsidR="00BB77A4" w:rsidRPr="005E77C9">
        <w:t xml:space="preserve"> </w:t>
      </w:r>
      <w:r w:rsidR="00F21E12" w:rsidRPr="005E77C9">
        <w:t>лв., докато през 201</w:t>
      </w:r>
      <w:r w:rsidR="004C3272" w:rsidRPr="005E77C9">
        <w:t>8</w:t>
      </w:r>
      <w:r w:rsidR="00F21E12" w:rsidRPr="005E77C9">
        <w:t xml:space="preserve">г. този резултат </w:t>
      </w:r>
      <w:r w:rsidR="004C3272" w:rsidRPr="005E77C9">
        <w:t>е бил</w:t>
      </w:r>
      <w:r w:rsidR="00F21E12" w:rsidRPr="005E77C9">
        <w:t xml:space="preserve"> </w:t>
      </w:r>
      <w:r w:rsidR="004C3272" w:rsidRPr="005E77C9">
        <w:t>8</w:t>
      </w:r>
      <w:r w:rsidR="00F21E12" w:rsidRPr="005E77C9">
        <w:t xml:space="preserve"> хил.</w:t>
      </w:r>
      <w:r w:rsidR="00BB77A4" w:rsidRPr="005E77C9">
        <w:t xml:space="preserve"> </w:t>
      </w:r>
      <w:r w:rsidR="00F21E12" w:rsidRPr="005E77C9">
        <w:t>лв. В това число:</w:t>
      </w:r>
    </w:p>
    <w:p w:rsidR="00F21E12" w:rsidRPr="005E77C9" w:rsidRDefault="00F21E12" w:rsidP="00F21E12">
      <w:pPr>
        <w:spacing w:after="60"/>
        <w:ind w:firstLine="709"/>
        <w:jc w:val="both"/>
      </w:pPr>
      <w:r w:rsidRPr="005E77C9">
        <w:rPr>
          <w:i/>
          <w:u w:val="single"/>
        </w:rPr>
        <w:t>Приходите от лихви</w:t>
      </w:r>
      <w:r w:rsidRPr="005E77C9">
        <w:t xml:space="preserve"> към края на 201</w:t>
      </w:r>
      <w:r w:rsidR="004C3272" w:rsidRPr="005E77C9">
        <w:t>9</w:t>
      </w:r>
      <w:r w:rsidRPr="005E77C9">
        <w:t xml:space="preserve">г. възлизат на </w:t>
      </w:r>
      <w:r w:rsidR="004C3272" w:rsidRPr="005E77C9">
        <w:t>3</w:t>
      </w:r>
      <w:r w:rsidRPr="005E77C9">
        <w:t xml:space="preserve"> хил.</w:t>
      </w:r>
      <w:r w:rsidR="00BB77A4" w:rsidRPr="005E77C9">
        <w:t xml:space="preserve"> </w:t>
      </w:r>
      <w:r w:rsidRPr="005E77C9">
        <w:t xml:space="preserve">лв. </w:t>
      </w:r>
      <w:r w:rsidR="00D9165E" w:rsidRPr="005E77C9">
        <w:t>(</w:t>
      </w:r>
      <w:r w:rsidRPr="005E77C9">
        <w:t>при 2 хил.</w:t>
      </w:r>
      <w:r w:rsidR="00BB77A4" w:rsidRPr="005E77C9">
        <w:t xml:space="preserve"> </w:t>
      </w:r>
      <w:r w:rsidRPr="005E77C9">
        <w:t>лв. за 201</w:t>
      </w:r>
      <w:r w:rsidR="004C3272" w:rsidRPr="005E77C9">
        <w:t>8</w:t>
      </w:r>
      <w:r w:rsidRPr="005E77C9">
        <w:t>г.</w:t>
      </w:r>
      <w:r w:rsidR="00D9165E" w:rsidRPr="005E77C9">
        <w:t>)</w:t>
      </w:r>
      <w:r w:rsidRPr="005E77C9">
        <w:t xml:space="preserve">. През периода са реализирани положителни </w:t>
      </w:r>
      <w:r w:rsidRPr="005E77C9">
        <w:rPr>
          <w:i/>
          <w:u w:val="single"/>
        </w:rPr>
        <w:t>разлики от промяна на валутни курсове</w:t>
      </w:r>
      <w:r w:rsidRPr="005E77C9">
        <w:t xml:space="preserve"> от </w:t>
      </w:r>
      <w:r w:rsidR="004C3272" w:rsidRPr="005E77C9">
        <w:t>5</w:t>
      </w:r>
      <w:r w:rsidRPr="005E77C9">
        <w:t xml:space="preserve"> хил.</w:t>
      </w:r>
      <w:r w:rsidR="00BB77A4" w:rsidRPr="005E77C9">
        <w:t xml:space="preserve"> </w:t>
      </w:r>
      <w:r w:rsidRPr="005E77C9">
        <w:t xml:space="preserve">лв., при </w:t>
      </w:r>
      <w:r w:rsidR="004C3272" w:rsidRPr="005E77C9">
        <w:t>1</w:t>
      </w:r>
      <w:r w:rsidR="0021611D" w:rsidRPr="005E77C9">
        <w:t>1</w:t>
      </w:r>
      <w:r w:rsidRPr="005E77C9">
        <w:t xml:space="preserve"> хил.</w:t>
      </w:r>
      <w:r w:rsidR="00BB77A4" w:rsidRPr="005E77C9">
        <w:t xml:space="preserve"> </w:t>
      </w:r>
      <w:r w:rsidRPr="005E77C9">
        <w:t xml:space="preserve">лв. </w:t>
      </w:r>
      <w:r w:rsidR="004C3272" w:rsidRPr="005E77C9">
        <w:t>положителни</w:t>
      </w:r>
      <w:r w:rsidRPr="005E77C9">
        <w:t xml:space="preserve"> курсови разлики през 201</w:t>
      </w:r>
      <w:r w:rsidR="004C3272" w:rsidRPr="005E77C9">
        <w:t>8</w:t>
      </w:r>
      <w:r w:rsidRPr="005E77C9">
        <w:t xml:space="preserve"> г.</w:t>
      </w:r>
    </w:p>
    <w:p w:rsidR="00A66C0B" w:rsidRPr="005E77C9" w:rsidRDefault="002B5082" w:rsidP="00F21E12">
      <w:pPr>
        <w:pStyle w:val="BodyTextIndent"/>
        <w:spacing w:after="60"/>
        <w:ind w:firstLine="709"/>
      </w:pPr>
      <w:r w:rsidRPr="005E77C9">
        <w:t>За 2019</w:t>
      </w:r>
      <w:r w:rsidRPr="005E77C9">
        <w:rPr>
          <w:lang w:val="en-US"/>
        </w:rPr>
        <w:t xml:space="preserve"> </w:t>
      </w:r>
      <w:r w:rsidRPr="005E77C9">
        <w:t>г. във финансовите разходи са отчетени 2 хил.</w:t>
      </w:r>
      <w:r w:rsidR="00BB77A4" w:rsidRPr="005E77C9">
        <w:t xml:space="preserve"> </w:t>
      </w:r>
      <w:r w:rsidRPr="005E77C9">
        <w:t xml:space="preserve">лв. </w:t>
      </w:r>
      <w:r w:rsidRPr="005E77C9">
        <w:rPr>
          <w:i/>
          <w:u w:val="single"/>
        </w:rPr>
        <w:t>други разходи</w:t>
      </w:r>
      <w:r w:rsidRPr="005E77C9">
        <w:t xml:space="preserve"> по финансови операции</w:t>
      </w:r>
      <w:r w:rsidR="000C0391" w:rsidRPr="005E77C9">
        <w:t>.</w:t>
      </w:r>
    </w:p>
    <w:p w:rsidR="00A72BD2" w:rsidRPr="005E77C9" w:rsidRDefault="00A72BD2" w:rsidP="00DD76F5">
      <w:pPr>
        <w:pStyle w:val="Heading2"/>
        <w:numPr>
          <w:ilvl w:val="1"/>
          <w:numId w:val="2"/>
        </w:numPr>
        <w:tabs>
          <w:tab w:val="num" w:pos="540"/>
        </w:tabs>
        <w:spacing w:after="120"/>
        <w:rPr>
          <w:rFonts w:ascii="Times New Roman" w:hAnsi="Times New Roman"/>
          <w:i/>
          <w:sz w:val="24"/>
          <w:u w:val="single"/>
        </w:rPr>
      </w:pPr>
      <w:bookmarkStart w:id="61" w:name="_Toc288478119"/>
    </w:p>
    <w:p w:rsidR="00B9618A" w:rsidRPr="005E77C9" w:rsidRDefault="00F178DE" w:rsidP="00DD76F5">
      <w:pPr>
        <w:pStyle w:val="Heading2"/>
        <w:numPr>
          <w:ilvl w:val="1"/>
          <w:numId w:val="2"/>
        </w:numPr>
        <w:tabs>
          <w:tab w:val="num" w:pos="540"/>
        </w:tabs>
        <w:spacing w:after="120"/>
        <w:rPr>
          <w:rFonts w:ascii="Times New Roman" w:hAnsi="Times New Roman"/>
          <w:i/>
          <w:smallCaps/>
          <w:sz w:val="24"/>
          <w:u w:val="single"/>
        </w:rPr>
      </w:pPr>
      <w:bookmarkStart w:id="62" w:name="_Toc40777303"/>
      <w:r w:rsidRPr="005E77C9">
        <w:rPr>
          <w:rFonts w:ascii="Times New Roman" w:hAnsi="Times New Roman"/>
          <w:i/>
          <w:sz w:val="24"/>
          <w:u w:val="single"/>
        </w:rPr>
        <w:t xml:space="preserve">6) </w:t>
      </w:r>
      <w:r w:rsidR="00D12A66" w:rsidRPr="005E77C9">
        <w:rPr>
          <w:rFonts w:ascii="Times New Roman" w:hAnsi="Times New Roman"/>
          <w:i/>
          <w:smallCaps/>
          <w:sz w:val="24"/>
          <w:u w:val="single"/>
        </w:rPr>
        <w:t>Анализ на промените в Баланса на дружеството</w:t>
      </w:r>
      <w:bookmarkEnd w:id="61"/>
      <w:bookmarkEnd w:id="62"/>
    </w:p>
    <w:p w:rsidR="00F178DE" w:rsidRPr="005E77C9" w:rsidRDefault="001E1227" w:rsidP="00F178DE">
      <w:pPr>
        <w:pStyle w:val="Heading3"/>
        <w:spacing w:before="120" w:after="60"/>
        <w:ind w:left="720"/>
        <w:jc w:val="left"/>
        <w:rPr>
          <w:rFonts w:ascii="Times New Roman" w:hAnsi="Times New Roman"/>
          <w:lang w:val="en-US"/>
        </w:rPr>
      </w:pPr>
      <w:bookmarkStart w:id="63" w:name="_Toc40777304"/>
      <w:r w:rsidRPr="005E77C9">
        <w:rPr>
          <w:rFonts w:ascii="Times New Roman" w:hAnsi="Times New Roman"/>
        </w:rPr>
        <w:t xml:space="preserve">6.1. </w:t>
      </w:r>
      <w:bookmarkStart w:id="64" w:name="_Toc288478120"/>
      <w:r w:rsidR="00F178DE" w:rsidRPr="005E77C9">
        <w:rPr>
          <w:rFonts w:ascii="Times New Roman" w:hAnsi="Times New Roman"/>
        </w:rPr>
        <w:t>Актив</w:t>
      </w:r>
      <w:bookmarkEnd w:id="63"/>
      <w:bookmarkEnd w:id="64"/>
    </w:p>
    <w:p w:rsidR="00F178DE" w:rsidRPr="005E77C9" w:rsidRDefault="00F178DE" w:rsidP="00F178DE">
      <w:pPr>
        <w:spacing w:after="120"/>
        <w:ind w:firstLine="720"/>
        <w:jc w:val="both"/>
        <w:rPr>
          <w:lang w:val="ru-RU"/>
        </w:rPr>
      </w:pPr>
      <w:bookmarkStart w:id="65" w:name="_Hlk506995059"/>
      <w:r w:rsidRPr="005E77C9">
        <w:t>За осъществяване на дейността си през 201</w:t>
      </w:r>
      <w:r w:rsidR="002B5082" w:rsidRPr="005E77C9">
        <w:t>9</w:t>
      </w:r>
      <w:r w:rsidRPr="005E77C9">
        <w:t xml:space="preserve">г. “Пристанищен комплекс–Русе” ЕАД  разполага с активи с общ  размер от 17 </w:t>
      </w:r>
      <w:r w:rsidR="002B5082" w:rsidRPr="005E77C9">
        <w:t>391</w:t>
      </w:r>
      <w:r w:rsidRPr="005E77C9">
        <w:t xml:space="preserve"> хил.</w:t>
      </w:r>
      <w:r w:rsidR="00BB77A4" w:rsidRPr="005E77C9">
        <w:t xml:space="preserve"> </w:t>
      </w:r>
      <w:r w:rsidRPr="005E77C9">
        <w:t>лв</w:t>
      </w:r>
      <w:bookmarkEnd w:id="65"/>
      <w:r w:rsidRPr="005E77C9">
        <w:t xml:space="preserve">. </w:t>
      </w:r>
    </w:p>
    <w:p w:rsidR="00F178DE" w:rsidRPr="005E77C9" w:rsidRDefault="00F178DE" w:rsidP="00F178DE">
      <w:pPr>
        <w:ind w:firstLine="709"/>
        <w:jc w:val="both"/>
      </w:pPr>
      <w:r w:rsidRPr="005E77C9">
        <w:rPr>
          <w:rFonts w:eastAsia="Times New Roman"/>
          <w:lang w:eastAsia="bg-BG"/>
        </w:rPr>
        <w:lastRenderedPageBreak/>
        <w:t>Към 31 декември 201</w:t>
      </w:r>
      <w:r w:rsidR="002B5082" w:rsidRPr="005E77C9">
        <w:rPr>
          <w:rFonts w:eastAsia="Times New Roman"/>
          <w:lang w:eastAsia="bg-BG"/>
        </w:rPr>
        <w:t>9</w:t>
      </w:r>
      <w:r w:rsidRPr="005E77C9">
        <w:rPr>
          <w:rFonts w:eastAsia="Times New Roman"/>
          <w:lang w:eastAsia="bg-BG"/>
        </w:rPr>
        <w:t xml:space="preserve">г. стойността на </w:t>
      </w:r>
      <w:r w:rsidRPr="005E77C9">
        <w:rPr>
          <w:rFonts w:eastAsia="Times New Roman"/>
          <w:i/>
          <w:lang w:eastAsia="bg-BG"/>
        </w:rPr>
        <w:t>Дълготрайните активи</w:t>
      </w:r>
      <w:r w:rsidRPr="005E77C9">
        <w:rPr>
          <w:rFonts w:eastAsia="Times New Roman"/>
          <w:lang w:eastAsia="bg-BG"/>
        </w:rPr>
        <w:t xml:space="preserve"> на дружеството възлиза на </w:t>
      </w:r>
      <w:r w:rsidR="00F21E12" w:rsidRPr="005E77C9">
        <w:rPr>
          <w:rFonts w:eastAsia="Times New Roman"/>
          <w:lang w:eastAsia="bg-BG"/>
        </w:rPr>
        <w:t>4</w:t>
      </w:r>
      <w:r w:rsidRPr="005E77C9">
        <w:rPr>
          <w:rFonts w:eastAsia="Times New Roman"/>
          <w:lang w:eastAsia="bg-BG"/>
        </w:rPr>
        <w:t xml:space="preserve"> </w:t>
      </w:r>
      <w:r w:rsidR="00F21E12" w:rsidRPr="005E77C9">
        <w:rPr>
          <w:rFonts w:eastAsia="Times New Roman"/>
          <w:lang w:eastAsia="bg-BG"/>
        </w:rPr>
        <w:t>9</w:t>
      </w:r>
      <w:r w:rsidR="002B5082" w:rsidRPr="005E77C9">
        <w:rPr>
          <w:rFonts w:eastAsia="Times New Roman"/>
          <w:lang w:eastAsia="bg-BG"/>
        </w:rPr>
        <w:t>7</w:t>
      </w:r>
      <w:r w:rsidR="00F21E12" w:rsidRPr="005E77C9">
        <w:rPr>
          <w:rFonts w:eastAsia="Times New Roman"/>
          <w:lang w:eastAsia="bg-BG"/>
        </w:rPr>
        <w:t>9</w:t>
      </w:r>
      <w:r w:rsidRPr="005E77C9">
        <w:rPr>
          <w:rFonts w:eastAsia="Times New Roman"/>
          <w:lang w:eastAsia="bg-BG"/>
        </w:rPr>
        <w:t xml:space="preserve"> хил.</w:t>
      </w:r>
      <w:r w:rsidR="00BB77A4" w:rsidRPr="005E77C9">
        <w:rPr>
          <w:rFonts w:eastAsia="Times New Roman"/>
          <w:lang w:eastAsia="bg-BG"/>
        </w:rPr>
        <w:t xml:space="preserve"> </w:t>
      </w:r>
      <w:r w:rsidRPr="005E77C9">
        <w:rPr>
          <w:rFonts w:eastAsia="Times New Roman"/>
          <w:lang w:eastAsia="bg-BG"/>
        </w:rPr>
        <w:t xml:space="preserve">лв., което е с </w:t>
      </w:r>
      <w:r w:rsidR="00F21E12" w:rsidRPr="005E77C9">
        <w:rPr>
          <w:rFonts w:eastAsia="Times New Roman"/>
          <w:lang w:eastAsia="bg-BG"/>
        </w:rPr>
        <w:t>30</w:t>
      </w:r>
      <w:r w:rsidR="002B5082" w:rsidRPr="005E77C9">
        <w:rPr>
          <w:rFonts w:eastAsia="Times New Roman"/>
          <w:lang w:eastAsia="bg-BG"/>
        </w:rPr>
        <w:t xml:space="preserve"> хил.</w:t>
      </w:r>
      <w:r w:rsidR="00BB77A4" w:rsidRPr="005E77C9">
        <w:rPr>
          <w:rFonts w:eastAsia="Times New Roman"/>
          <w:lang w:eastAsia="bg-BG"/>
        </w:rPr>
        <w:t xml:space="preserve"> </w:t>
      </w:r>
      <w:r w:rsidR="002B5082" w:rsidRPr="005E77C9">
        <w:rPr>
          <w:rFonts w:eastAsia="Times New Roman"/>
          <w:lang w:eastAsia="bg-BG"/>
        </w:rPr>
        <w:t xml:space="preserve">лв. </w:t>
      </w:r>
      <w:r w:rsidR="00D9165E" w:rsidRPr="005E77C9">
        <w:rPr>
          <w:rFonts w:eastAsia="Times New Roman"/>
          <w:lang w:eastAsia="bg-BG"/>
        </w:rPr>
        <w:t>(</w:t>
      </w:r>
      <w:r w:rsidR="002B5082" w:rsidRPr="005E77C9">
        <w:rPr>
          <w:rFonts w:eastAsia="Times New Roman"/>
          <w:lang w:eastAsia="bg-BG"/>
        </w:rPr>
        <w:t>0,</w:t>
      </w:r>
      <w:r w:rsidR="005D2889" w:rsidRPr="005E77C9">
        <w:rPr>
          <w:rFonts w:eastAsia="Times New Roman"/>
          <w:lang w:eastAsia="bg-BG"/>
        </w:rPr>
        <w:t>6</w:t>
      </w:r>
      <w:r w:rsidRPr="005E77C9">
        <w:rPr>
          <w:rFonts w:eastAsia="Times New Roman"/>
          <w:lang w:eastAsia="bg-BG"/>
        </w:rPr>
        <w:t xml:space="preserve"> %</w:t>
      </w:r>
      <w:r w:rsidR="00D9165E" w:rsidRPr="005E77C9">
        <w:rPr>
          <w:rFonts w:eastAsia="Times New Roman"/>
          <w:lang w:eastAsia="bg-BG"/>
        </w:rPr>
        <w:t>)</w:t>
      </w:r>
      <w:r w:rsidRPr="005E77C9">
        <w:rPr>
          <w:rFonts w:eastAsia="Times New Roman"/>
          <w:lang w:eastAsia="bg-BG"/>
        </w:rPr>
        <w:t xml:space="preserve"> по</w:t>
      </w:r>
      <w:r w:rsidR="002B5082" w:rsidRPr="005E77C9">
        <w:rPr>
          <w:rFonts w:eastAsia="Times New Roman"/>
          <w:lang w:eastAsia="bg-BG"/>
        </w:rPr>
        <w:t>вече</w:t>
      </w:r>
      <w:r w:rsidRPr="005E77C9">
        <w:rPr>
          <w:rFonts w:eastAsia="Times New Roman"/>
          <w:lang w:eastAsia="bg-BG"/>
        </w:rPr>
        <w:t xml:space="preserve"> в сравнение с края на 201</w:t>
      </w:r>
      <w:r w:rsidR="002B5082" w:rsidRPr="005E77C9">
        <w:rPr>
          <w:rFonts w:eastAsia="Times New Roman"/>
          <w:lang w:eastAsia="bg-BG"/>
        </w:rPr>
        <w:t>8</w:t>
      </w:r>
      <w:r w:rsidRPr="005E77C9">
        <w:rPr>
          <w:rFonts w:eastAsia="Times New Roman"/>
          <w:lang w:eastAsia="bg-BG"/>
        </w:rPr>
        <w:t xml:space="preserve">г. </w:t>
      </w:r>
      <w:r w:rsidR="002B5082" w:rsidRPr="005E77C9">
        <w:t>Изменението се дължи на начислената през периода амортизация и новозакупените ДМА, в това число и колесен челен товарач на стойност 356 хил.</w:t>
      </w:r>
      <w:r w:rsidR="00BB77A4" w:rsidRPr="005E77C9">
        <w:t xml:space="preserve"> </w:t>
      </w:r>
      <w:r w:rsidR="002B5082" w:rsidRPr="005E77C9">
        <w:t>лв</w:t>
      </w:r>
      <w:r w:rsidRPr="005E77C9">
        <w:rPr>
          <w:rFonts w:eastAsia="Times New Roman"/>
          <w:lang w:eastAsia="bg-BG"/>
        </w:rPr>
        <w:t xml:space="preserve">. </w:t>
      </w:r>
      <w:r w:rsidRPr="005E77C9">
        <w:t>В края на текущата година, като дългосрочни финансови активи на стойност 1 3</w:t>
      </w:r>
      <w:r w:rsidR="002B5082" w:rsidRPr="005E77C9">
        <w:t>6</w:t>
      </w:r>
      <w:r w:rsidR="005D2889" w:rsidRPr="005E77C9">
        <w:t>0</w:t>
      </w:r>
      <w:r w:rsidRPr="005E77C9">
        <w:t xml:space="preserve"> хил.</w:t>
      </w:r>
      <w:r w:rsidR="00BB77A4" w:rsidRPr="005E77C9">
        <w:t xml:space="preserve"> </w:t>
      </w:r>
      <w:r w:rsidRPr="005E77C9">
        <w:t xml:space="preserve">лв. са посочени недвижими имоти, собственост на дружеството (инвестиционни имоти съгласно </w:t>
      </w:r>
      <w:r w:rsidR="005D2889" w:rsidRPr="005E77C9">
        <w:t>Н</w:t>
      </w:r>
      <w:r w:rsidRPr="005E77C9">
        <w:t>СС 40), чиято стойност бе преоценена до пазарните нива към края на 201</w:t>
      </w:r>
      <w:r w:rsidR="00143513" w:rsidRPr="005E77C9">
        <w:t>9</w:t>
      </w:r>
      <w:r w:rsidRPr="005E77C9">
        <w:t>г.</w:t>
      </w:r>
      <w:r w:rsidR="00143513" w:rsidRPr="005E77C9">
        <w:t xml:space="preserve"> </w:t>
      </w:r>
      <w:r w:rsidR="00143513" w:rsidRPr="005E77C9">
        <w:rPr>
          <w:rFonts w:eastAsia="Times New Roman"/>
          <w:lang w:eastAsia="bg-BG"/>
        </w:rPr>
        <w:t>Дълготрайните активи заемат 29%</w:t>
      </w:r>
      <w:r w:rsidR="00143513" w:rsidRPr="005E77C9">
        <w:rPr>
          <w:rFonts w:eastAsia="Times New Roman"/>
          <w:vertAlign w:val="superscript"/>
          <w:lang w:eastAsia="bg-BG"/>
        </w:rPr>
        <w:t>-тен</w:t>
      </w:r>
      <w:r w:rsidR="00143513" w:rsidRPr="005E77C9">
        <w:rPr>
          <w:rFonts w:eastAsia="Times New Roman"/>
          <w:lang w:eastAsia="bg-BG"/>
        </w:rPr>
        <w:t xml:space="preserve"> дял в структурата на Актива.</w:t>
      </w:r>
    </w:p>
    <w:p w:rsidR="00F178DE" w:rsidRPr="005E77C9" w:rsidRDefault="00F178DE" w:rsidP="00F178DE"/>
    <w:tbl>
      <w:tblPr>
        <w:tblW w:w="7882" w:type="dxa"/>
        <w:jc w:val="center"/>
        <w:tblLayout w:type="fixed"/>
        <w:tblCellMar>
          <w:left w:w="70" w:type="dxa"/>
          <w:right w:w="70" w:type="dxa"/>
        </w:tblCellMar>
        <w:tblLook w:val="0000" w:firstRow="0" w:lastRow="0" w:firstColumn="0" w:lastColumn="0" w:noHBand="0" w:noVBand="0"/>
      </w:tblPr>
      <w:tblGrid>
        <w:gridCol w:w="4140"/>
        <w:gridCol w:w="1252"/>
        <w:gridCol w:w="1245"/>
        <w:gridCol w:w="1245"/>
      </w:tblGrid>
      <w:tr w:rsidR="006A2652" w:rsidRPr="005E77C9">
        <w:trPr>
          <w:trHeight w:val="270"/>
          <w:jc w:val="center"/>
        </w:trPr>
        <w:tc>
          <w:tcPr>
            <w:tcW w:w="4140" w:type="dxa"/>
            <w:tcBorders>
              <w:top w:val="single" w:sz="4" w:space="0" w:color="auto"/>
              <w:left w:val="single" w:sz="4" w:space="0" w:color="auto"/>
              <w:bottom w:val="single" w:sz="4" w:space="0" w:color="auto"/>
              <w:right w:val="single" w:sz="4" w:space="0" w:color="auto"/>
            </w:tcBorders>
            <w:shd w:val="clear" w:color="auto" w:fill="C0C0C0"/>
            <w:vAlign w:val="bottom"/>
          </w:tcPr>
          <w:p w:rsidR="006A2652" w:rsidRPr="00545A61" w:rsidRDefault="006A2652" w:rsidP="00701693">
            <w:pPr>
              <w:pBdr>
                <w:between w:val="single" w:sz="4" w:space="1" w:color="auto"/>
              </w:pBdr>
              <w:rPr>
                <w:rFonts w:ascii="Arial" w:hAnsi="Arial" w:cs="Arial"/>
                <w:sz w:val="20"/>
                <w:szCs w:val="20"/>
              </w:rPr>
            </w:pPr>
            <w:r w:rsidRPr="00545A61">
              <w:rPr>
                <w:rFonts w:ascii="Arial" w:hAnsi="Arial" w:cs="Arial"/>
                <w:sz w:val="20"/>
                <w:szCs w:val="20"/>
              </w:rPr>
              <w:t>СЧЕТОВОДЕН БАЛАНС</w:t>
            </w:r>
          </w:p>
        </w:tc>
        <w:tc>
          <w:tcPr>
            <w:tcW w:w="3742" w:type="dxa"/>
            <w:gridSpan w:val="3"/>
            <w:tcBorders>
              <w:top w:val="single" w:sz="4" w:space="0" w:color="auto"/>
              <w:left w:val="single" w:sz="4" w:space="0" w:color="auto"/>
              <w:bottom w:val="single" w:sz="4" w:space="0" w:color="auto"/>
              <w:right w:val="single" w:sz="4" w:space="0" w:color="auto"/>
            </w:tcBorders>
            <w:shd w:val="clear" w:color="auto" w:fill="C0C0C0"/>
            <w:vAlign w:val="bottom"/>
          </w:tcPr>
          <w:p w:rsidR="006A2652" w:rsidRPr="00545A61" w:rsidRDefault="006A2652" w:rsidP="005D2889">
            <w:pPr>
              <w:jc w:val="center"/>
              <w:rPr>
                <w:rFonts w:ascii="Arial" w:hAnsi="Arial" w:cs="Arial"/>
                <w:snapToGrid w:val="0"/>
                <w:color w:val="000000"/>
                <w:sz w:val="20"/>
                <w:szCs w:val="20"/>
                <w:lang w:eastAsia="en-US"/>
              </w:rPr>
            </w:pPr>
            <w:r w:rsidRPr="00545A61">
              <w:rPr>
                <w:rFonts w:ascii="Arial" w:hAnsi="Arial" w:cs="Arial"/>
                <w:snapToGrid w:val="0"/>
                <w:color w:val="000000"/>
                <w:sz w:val="20"/>
                <w:szCs w:val="20"/>
                <w:lang w:eastAsia="en-US"/>
              </w:rPr>
              <w:t>31 ДЕКЕМВРИ 20</w:t>
            </w:r>
            <w:r w:rsidR="00776116" w:rsidRPr="00545A61">
              <w:rPr>
                <w:rFonts w:ascii="Arial" w:hAnsi="Arial" w:cs="Arial"/>
                <w:snapToGrid w:val="0"/>
                <w:color w:val="000000"/>
                <w:sz w:val="20"/>
                <w:szCs w:val="20"/>
                <w:lang w:eastAsia="en-US"/>
              </w:rPr>
              <w:t>1</w:t>
            </w:r>
            <w:r w:rsidR="002A0BE2" w:rsidRPr="00545A61">
              <w:rPr>
                <w:rFonts w:ascii="Arial" w:hAnsi="Arial" w:cs="Arial"/>
                <w:snapToGrid w:val="0"/>
                <w:color w:val="000000"/>
                <w:sz w:val="20"/>
                <w:szCs w:val="20"/>
                <w:lang w:eastAsia="en-US"/>
              </w:rPr>
              <w:t>9</w:t>
            </w:r>
          </w:p>
        </w:tc>
      </w:tr>
      <w:tr w:rsidR="002A0BE2" w:rsidRPr="005E77C9" w:rsidTr="00135F12">
        <w:trPr>
          <w:trHeight w:val="302"/>
          <w:jc w:val="center"/>
        </w:trPr>
        <w:tc>
          <w:tcPr>
            <w:tcW w:w="4140" w:type="dxa"/>
            <w:tcBorders>
              <w:top w:val="single" w:sz="4" w:space="0" w:color="auto"/>
              <w:left w:val="single" w:sz="4" w:space="0" w:color="auto"/>
              <w:right w:val="nil"/>
            </w:tcBorders>
            <w:vAlign w:val="center"/>
          </w:tcPr>
          <w:p w:rsidR="002A0BE2" w:rsidRPr="00545A61" w:rsidRDefault="002A0BE2" w:rsidP="002A0BE2">
            <w:pPr>
              <w:rPr>
                <w:rFonts w:ascii="Arial" w:hAnsi="Arial" w:cs="Arial"/>
                <w:i/>
                <w:sz w:val="20"/>
                <w:szCs w:val="20"/>
              </w:rPr>
            </w:pPr>
            <w:r w:rsidRPr="00545A61">
              <w:rPr>
                <w:rFonts w:ascii="Arial" w:hAnsi="Arial" w:cs="Arial"/>
                <w:i/>
                <w:sz w:val="20"/>
                <w:szCs w:val="20"/>
              </w:rPr>
              <w:t>в хил. лева</w:t>
            </w:r>
          </w:p>
        </w:tc>
        <w:tc>
          <w:tcPr>
            <w:tcW w:w="1252" w:type="dxa"/>
            <w:tcBorders>
              <w:left w:val="single" w:sz="4" w:space="0" w:color="auto"/>
              <w:bottom w:val="single" w:sz="4" w:space="0" w:color="auto"/>
              <w:right w:val="single" w:sz="4" w:space="0" w:color="auto"/>
            </w:tcBorders>
            <w:vAlign w:val="center"/>
          </w:tcPr>
          <w:p w:rsidR="002A0BE2" w:rsidRPr="00545A61" w:rsidRDefault="002A0BE2" w:rsidP="002A0BE2">
            <w:pPr>
              <w:jc w:val="center"/>
              <w:rPr>
                <w:rFonts w:ascii="Arial" w:hAnsi="Arial" w:cs="Arial"/>
                <w:sz w:val="20"/>
                <w:szCs w:val="20"/>
              </w:rPr>
            </w:pPr>
            <w:r w:rsidRPr="00545A61">
              <w:rPr>
                <w:rFonts w:ascii="Arial" w:hAnsi="Arial" w:cs="Arial"/>
                <w:sz w:val="20"/>
                <w:szCs w:val="20"/>
              </w:rPr>
              <w:t>31.12.2019</w:t>
            </w:r>
          </w:p>
        </w:tc>
        <w:tc>
          <w:tcPr>
            <w:tcW w:w="1245" w:type="dxa"/>
            <w:tcBorders>
              <w:left w:val="nil"/>
              <w:bottom w:val="single" w:sz="4" w:space="0" w:color="auto"/>
              <w:right w:val="nil"/>
            </w:tcBorders>
            <w:vAlign w:val="center"/>
          </w:tcPr>
          <w:p w:rsidR="002A0BE2" w:rsidRPr="00545A61" w:rsidRDefault="002A0BE2" w:rsidP="002A0BE2">
            <w:pPr>
              <w:jc w:val="center"/>
              <w:rPr>
                <w:rFonts w:ascii="Arial" w:hAnsi="Arial" w:cs="Arial"/>
                <w:sz w:val="20"/>
                <w:szCs w:val="20"/>
              </w:rPr>
            </w:pPr>
            <w:r w:rsidRPr="00545A61">
              <w:rPr>
                <w:rFonts w:ascii="Arial" w:hAnsi="Arial" w:cs="Arial"/>
                <w:sz w:val="20"/>
                <w:szCs w:val="20"/>
              </w:rPr>
              <w:t>31.12.2018</w:t>
            </w:r>
          </w:p>
        </w:tc>
        <w:tc>
          <w:tcPr>
            <w:tcW w:w="1245" w:type="dxa"/>
            <w:tcBorders>
              <w:left w:val="single" w:sz="4" w:space="0" w:color="auto"/>
              <w:bottom w:val="single" w:sz="4" w:space="0" w:color="auto"/>
              <w:right w:val="single" w:sz="4" w:space="0" w:color="auto"/>
            </w:tcBorders>
            <w:vAlign w:val="center"/>
          </w:tcPr>
          <w:p w:rsidR="002A0BE2" w:rsidRPr="00545A61" w:rsidRDefault="002A0BE2" w:rsidP="002A0BE2">
            <w:pPr>
              <w:jc w:val="center"/>
              <w:rPr>
                <w:rFonts w:ascii="Arial" w:hAnsi="Arial" w:cs="Arial"/>
                <w:sz w:val="20"/>
                <w:szCs w:val="20"/>
              </w:rPr>
            </w:pPr>
            <w:r w:rsidRPr="00545A61">
              <w:rPr>
                <w:rFonts w:ascii="Arial" w:hAnsi="Arial" w:cs="Arial"/>
                <w:sz w:val="20"/>
                <w:szCs w:val="20"/>
              </w:rPr>
              <w:t>1/2 (%)</w:t>
            </w:r>
          </w:p>
        </w:tc>
      </w:tr>
      <w:tr w:rsidR="002A0BE2" w:rsidRPr="005E77C9" w:rsidTr="00B82B16">
        <w:trPr>
          <w:trHeight w:val="330"/>
          <w:jc w:val="center"/>
        </w:trPr>
        <w:tc>
          <w:tcPr>
            <w:tcW w:w="4140" w:type="dxa"/>
            <w:tcBorders>
              <w:top w:val="single" w:sz="4" w:space="0" w:color="auto"/>
              <w:left w:val="single" w:sz="4" w:space="0" w:color="auto"/>
              <w:bottom w:val="single" w:sz="4" w:space="0" w:color="auto"/>
              <w:right w:val="nil"/>
            </w:tcBorders>
            <w:vAlign w:val="bottom"/>
          </w:tcPr>
          <w:p w:rsidR="002A0BE2" w:rsidRPr="00545A61" w:rsidRDefault="002A0BE2" w:rsidP="002A0BE2">
            <w:pPr>
              <w:rPr>
                <w:rFonts w:ascii="Arial" w:hAnsi="Arial" w:cs="Arial"/>
                <w:b/>
                <w:sz w:val="20"/>
                <w:szCs w:val="20"/>
              </w:rPr>
            </w:pPr>
            <w:r w:rsidRPr="00545A61">
              <w:rPr>
                <w:rFonts w:ascii="Arial" w:hAnsi="Arial" w:cs="Arial"/>
                <w:b/>
                <w:sz w:val="20"/>
                <w:szCs w:val="20"/>
              </w:rPr>
              <w:t>Дълготрайни активи</w:t>
            </w:r>
          </w:p>
        </w:tc>
        <w:tc>
          <w:tcPr>
            <w:tcW w:w="1252" w:type="dxa"/>
            <w:tcBorders>
              <w:top w:val="nil"/>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lang w:eastAsia="bg-BG"/>
              </w:rPr>
            </w:pPr>
            <w:r w:rsidRPr="00545A61">
              <w:rPr>
                <w:rFonts w:ascii="Arial" w:hAnsi="Arial" w:cs="Arial"/>
                <w:sz w:val="20"/>
                <w:szCs w:val="20"/>
              </w:rPr>
              <w:t>4 97</w:t>
            </w:r>
            <w:r w:rsidR="00B01205" w:rsidRPr="00545A61">
              <w:rPr>
                <w:rFonts w:ascii="Arial" w:hAnsi="Arial" w:cs="Arial"/>
                <w:sz w:val="20"/>
                <w:szCs w:val="20"/>
              </w:rPr>
              <w:t>9</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4 949</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0.6%</w:t>
            </w:r>
          </w:p>
        </w:tc>
      </w:tr>
      <w:tr w:rsidR="002A0BE2" w:rsidRPr="005E77C9" w:rsidTr="00B82B16">
        <w:trPr>
          <w:trHeight w:val="121"/>
          <w:jc w:val="center"/>
        </w:trPr>
        <w:tc>
          <w:tcPr>
            <w:tcW w:w="4140" w:type="dxa"/>
            <w:tcBorders>
              <w:top w:val="single" w:sz="4" w:space="0" w:color="auto"/>
              <w:left w:val="single" w:sz="4" w:space="0" w:color="auto"/>
              <w:bottom w:val="single" w:sz="4" w:space="0" w:color="auto"/>
              <w:right w:val="nil"/>
            </w:tcBorders>
            <w:vAlign w:val="bottom"/>
          </w:tcPr>
          <w:p w:rsidR="002A0BE2" w:rsidRPr="00545A61" w:rsidRDefault="002A0BE2" w:rsidP="002A0BE2">
            <w:pPr>
              <w:rPr>
                <w:rFonts w:ascii="Arial" w:hAnsi="Arial" w:cs="Arial"/>
                <w:sz w:val="20"/>
                <w:szCs w:val="20"/>
                <w:lang w:val="en-US"/>
              </w:rPr>
            </w:pPr>
            <w:r w:rsidRPr="00545A61">
              <w:rPr>
                <w:rFonts w:ascii="Arial" w:hAnsi="Arial" w:cs="Arial"/>
                <w:sz w:val="20"/>
                <w:szCs w:val="20"/>
              </w:rPr>
              <w:t> </w:t>
            </w:r>
          </w:p>
        </w:tc>
        <w:tc>
          <w:tcPr>
            <w:tcW w:w="1252" w:type="dxa"/>
            <w:tcBorders>
              <w:top w:val="nil"/>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 </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 </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 </w:t>
            </w:r>
          </w:p>
        </w:tc>
      </w:tr>
      <w:tr w:rsidR="002A0BE2" w:rsidRPr="005E77C9" w:rsidTr="00B82B16">
        <w:trPr>
          <w:trHeight w:val="315"/>
          <w:jc w:val="center"/>
        </w:trPr>
        <w:tc>
          <w:tcPr>
            <w:tcW w:w="4140" w:type="dxa"/>
            <w:tcBorders>
              <w:top w:val="single" w:sz="4" w:space="0" w:color="auto"/>
              <w:left w:val="single" w:sz="4" w:space="0" w:color="auto"/>
              <w:bottom w:val="single" w:sz="4" w:space="0" w:color="auto"/>
              <w:right w:val="nil"/>
            </w:tcBorders>
            <w:vAlign w:val="bottom"/>
          </w:tcPr>
          <w:p w:rsidR="002A0BE2" w:rsidRPr="00545A61" w:rsidRDefault="002A0BE2" w:rsidP="002A0BE2">
            <w:pPr>
              <w:rPr>
                <w:rFonts w:ascii="Arial" w:hAnsi="Arial" w:cs="Arial"/>
                <w:b/>
                <w:sz w:val="20"/>
                <w:szCs w:val="20"/>
              </w:rPr>
            </w:pPr>
            <w:r w:rsidRPr="00545A61">
              <w:rPr>
                <w:rFonts w:ascii="Arial" w:hAnsi="Arial" w:cs="Arial"/>
                <w:b/>
                <w:sz w:val="20"/>
                <w:szCs w:val="20"/>
              </w:rPr>
              <w:t>Краткотрайни активи, в т.ч.:</w:t>
            </w:r>
          </w:p>
        </w:tc>
        <w:tc>
          <w:tcPr>
            <w:tcW w:w="1252" w:type="dxa"/>
            <w:tcBorders>
              <w:top w:val="nil"/>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12 4</w:t>
            </w:r>
            <w:r w:rsidR="006D4B6B" w:rsidRPr="00545A61">
              <w:rPr>
                <w:rFonts w:ascii="Arial" w:hAnsi="Arial" w:cs="Arial"/>
                <w:sz w:val="20"/>
                <w:szCs w:val="20"/>
              </w:rPr>
              <w:t>12</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12 237</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1.4%</w:t>
            </w:r>
          </w:p>
        </w:tc>
      </w:tr>
      <w:tr w:rsidR="002A0BE2" w:rsidRPr="005E77C9" w:rsidTr="00B82B16">
        <w:trPr>
          <w:trHeight w:val="315"/>
          <w:jc w:val="center"/>
        </w:trPr>
        <w:tc>
          <w:tcPr>
            <w:tcW w:w="4140" w:type="dxa"/>
            <w:tcBorders>
              <w:top w:val="single" w:sz="4" w:space="0" w:color="auto"/>
              <w:left w:val="single" w:sz="4" w:space="0" w:color="auto"/>
              <w:bottom w:val="single" w:sz="4" w:space="0" w:color="auto"/>
              <w:right w:val="nil"/>
            </w:tcBorders>
            <w:vAlign w:val="bottom"/>
          </w:tcPr>
          <w:p w:rsidR="002A0BE2" w:rsidRPr="00545A61" w:rsidRDefault="002A0BE2" w:rsidP="002A0BE2">
            <w:pPr>
              <w:ind w:firstLine="209"/>
              <w:jc w:val="both"/>
              <w:rPr>
                <w:rFonts w:ascii="Arial" w:hAnsi="Arial" w:cs="Arial"/>
                <w:sz w:val="20"/>
                <w:szCs w:val="20"/>
              </w:rPr>
            </w:pPr>
            <w:r w:rsidRPr="00545A61">
              <w:rPr>
                <w:rFonts w:ascii="Arial" w:hAnsi="Arial" w:cs="Arial"/>
                <w:sz w:val="20"/>
                <w:szCs w:val="20"/>
              </w:rPr>
              <w:t>Материални запаси и стоки</w:t>
            </w:r>
          </w:p>
        </w:tc>
        <w:tc>
          <w:tcPr>
            <w:tcW w:w="1252" w:type="dxa"/>
            <w:tcBorders>
              <w:top w:val="nil"/>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256</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264</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-3.0%</w:t>
            </w:r>
          </w:p>
        </w:tc>
      </w:tr>
      <w:tr w:rsidR="002A0BE2" w:rsidRPr="005E77C9" w:rsidTr="00B82B16">
        <w:trPr>
          <w:trHeight w:val="315"/>
          <w:jc w:val="center"/>
        </w:trPr>
        <w:tc>
          <w:tcPr>
            <w:tcW w:w="4140" w:type="dxa"/>
            <w:tcBorders>
              <w:top w:val="single" w:sz="4" w:space="0" w:color="auto"/>
              <w:left w:val="single" w:sz="4" w:space="0" w:color="auto"/>
              <w:bottom w:val="single" w:sz="4" w:space="0" w:color="auto"/>
              <w:right w:val="nil"/>
            </w:tcBorders>
            <w:vAlign w:val="bottom"/>
          </w:tcPr>
          <w:p w:rsidR="002A0BE2" w:rsidRPr="00545A61" w:rsidRDefault="002A0BE2" w:rsidP="002A0BE2">
            <w:pPr>
              <w:ind w:firstLine="209"/>
              <w:jc w:val="both"/>
              <w:rPr>
                <w:rFonts w:ascii="Arial" w:hAnsi="Arial" w:cs="Arial"/>
                <w:sz w:val="20"/>
                <w:szCs w:val="20"/>
              </w:rPr>
            </w:pPr>
            <w:r w:rsidRPr="00545A61">
              <w:rPr>
                <w:rFonts w:ascii="Arial" w:hAnsi="Arial" w:cs="Arial"/>
                <w:sz w:val="20"/>
                <w:szCs w:val="20"/>
              </w:rPr>
              <w:t>Краткосрочни вземания</w:t>
            </w:r>
          </w:p>
        </w:tc>
        <w:tc>
          <w:tcPr>
            <w:tcW w:w="1252" w:type="dxa"/>
            <w:tcBorders>
              <w:top w:val="nil"/>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2 7</w:t>
            </w:r>
            <w:r w:rsidR="00B01205" w:rsidRPr="00545A61">
              <w:rPr>
                <w:rFonts w:ascii="Arial" w:hAnsi="Arial" w:cs="Arial"/>
                <w:sz w:val="20"/>
                <w:szCs w:val="20"/>
              </w:rPr>
              <w:t>54</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2 708</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1.</w:t>
            </w:r>
            <w:r w:rsidR="002F3865" w:rsidRPr="00545A61">
              <w:rPr>
                <w:rFonts w:ascii="Arial" w:hAnsi="Arial" w:cs="Arial"/>
                <w:sz w:val="20"/>
                <w:szCs w:val="20"/>
              </w:rPr>
              <w:t>7</w:t>
            </w:r>
            <w:r w:rsidRPr="00545A61">
              <w:rPr>
                <w:rFonts w:ascii="Arial" w:hAnsi="Arial" w:cs="Arial"/>
                <w:sz w:val="20"/>
                <w:szCs w:val="20"/>
              </w:rPr>
              <w:t>%</w:t>
            </w:r>
          </w:p>
        </w:tc>
      </w:tr>
      <w:tr w:rsidR="002A0BE2" w:rsidRPr="005E77C9" w:rsidTr="00B82B16">
        <w:trPr>
          <w:trHeight w:val="315"/>
          <w:jc w:val="center"/>
        </w:trPr>
        <w:tc>
          <w:tcPr>
            <w:tcW w:w="4140" w:type="dxa"/>
            <w:tcBorders>
              <w:top w:val="single" w:sz="4" w:space="0" w:color="auto"/>
              <w:left w:val="single" w:sz="4" w:space="0" w:color="auto"/>
              <w:bottom w:val="single" w:sz="4" w:space="0" w:color="auto"/>
              <w:right w:val="nil"/>
            </w:tcBorders>
            <w:vAlign w:val="bottom"/>
          </w:tcPr>
          <w:p w:rsidR="002A0BE2" w:rsidRPr="00545A61" w:rsidRDefault="002A0BE2" w:rsidP="002A0BE2">
            <w:pPr>
              <w:ind w:firstLine="209"/>
              <w:jc w:val="both"/>
              <w:rPr>
                <w:rFonts w:ascii="Arial" w:hAnsi="Arial" w:cs="Arial"/>
                <w:sz w:val="20"/>
                <w:szCs w:val="20"/>
              </w:rPr>
            </w:pPr>
            <w:r w:rsidRPr="00545A61">
              <w:rPr>
                <w:rFonts w:ascii="Arial" w:hAnsi="Arial" w:cs="Arial"/>
                <w:sz w:val="20"/>
                <w:szCs w:val="20"/>
              </w:rPr>
              <w:t>Парични средства</w:t>
            </w:r>
          </w:p>
        </w:tc>
        <w:tc>
          <w:tcPr>
            <w:tcW w:w="1252" w:type="dxa"/>
            <w:tcBorders>
              <w:top w:val="nil"/>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9 402</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9 265</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1.5%</w:t>
            </w:r>
          </w:p>
        </w:tc>
      </w:tr>
      <w:tr w:rsidR="002A0BE2" w:rsidRPr="005E77C9" w:rsidTr="00135F12">
        <w:trPr>
          <w:trHeight w:val="315"/>
          <w:jc w:val="center"/>
        </w:trPr>
        <w:tc>
          <w:tcPr>
            <w:tcW w:w="4140" w:type="dxa"/>
            <w:tcBorders>
              <w:top w:val="single" w:sz="4" w:space="0" w:color="auto"/>
              <w:left w:val="single" w:sz="4" w:space="0" w:color="auto"/>
              <w:bottom w:val="single" w:sz="4" w:space="0" w:color="auto"/>
              <w:right w:val="single" w:sz="4" w:space="0" w:color="auto"/>
            </w:tcBorders>
            <w:vAlign w:val="bottom"/>
          </w:tcPr>
          <w:p w:rsidR="002A0BE2" w:rsidRPr="00545A61" w:rsidRDefault="002A0BE2" w:rsidP="002A0BE2">
            <w:pPr>
              <w:rPr>
                <w:rFonts w:ascii="Arial" w:hAnsi="Arial" w:cs="Arial"/>
                <w:b/>
                <w:sz w:val="20"/>
                <w:szCs w:val="20"/>
              </w:rPr>
            </w:pPr>
            <w:r w:rsidRPr="00545A61">
              <w:rPr>
                <w:rFonts w:ascii="Arial" w:hAnsi="Arial" w:cs="Arial"/>
                <w:b/>
                <w:sz w:val="20"/>
                <w:szCs w:val="20"/>
              </w:rPr>
              <w:t>Краткосрочни пасиви, в т.ч.:</w:t>
            </w:r>
          </w:p>
        </w:tc>
        <w:tc>
          <w:tcPr>
            <w:tcW w:w="1252" w:type="dxa"/>
            <w:tcBorders>
              <w:top w:val="single" w:sz="4" w:space="0" w:color="auto"/>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48</w:t>
            </w:r>
            <w:r w:rsidR="00B01205" w:rsidRPr="00545A61">
              <w:rPr>
                <w:rFonts w:ascii="Arial" w:hAnsi="Arial" w:cs="Arial"/>
                <w:sz w:val="20"/>
                <w:szCs w:val="20"/>
              </w:rPr>
              <w:t>2</w:t>
            </w:r>
          </w:p>
        </w:tc>
        <w:tc>
          <w:tcPr>
            <w:tcW w:w="1245" w:type="dxa"/>
            <w:tcBorders>
              <w:top w:val="single" w:sz="4" w:space="0" w:color="auto"/>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494</w:t>
            </w:r>
          </w:p>
        </w:tc>
        <w:tc>
          <w:tcPr>
            <w:tcW w:w="1245" w:type="dxa"/>
            <w:tcBorders>
              <w:top w:val="single" w:sz="4" w:space="0" w:color="auto"/>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-2.</w:t>
            </w:r>
            <w:r w:rsidR="002F3865" w:rsidRPr="00545A61">
              <w:rPr>
                <w:rFonts w:ascii="Arial" w:hAnsi="Arial" w:cs="Arial"/>
                <w:sz w:val="20"/>
                <w:szCs w:val="20"/>
              </w:rPr>
              <w:t>4</w:t>
            </w:r>
            <w:r w:rsidRPr="00545A61">
              <w:rPr>
                <w:rFonts w:ascii="Arial" w:hAnsi="Arial" w:cs="Arial"/>
                <w:sz w:val="20"/>
                <w:szCs w:val="20"/>
              </w:rPr>
              <w:t>%</w:t>
            </w:r>
          </w:p>
        </w:tc>
      </w:tr>
      <w:tr w:rsidR="002A0BE2" w:rsidRPr="005E77C9" w:rsidTr="00135F12">
        <w:trPr>
          <w:trHeight w:val="315"/>
          <w:jc w:val="center"/>
        </w:trPr>
        <w:tc>
          <w:tcPr>
            <w:tcW w:w="4140" w:type="dxa"/>
            <w:tcBorders>
              <w:top w:val="single" w:sz="4" w:space="0" w:color="auto"/>
              <w:left w:val="single" w:sz="4" w:space="0" w:color="auto"/>
              <w:bottom w:val="single" w:sz="4" w:space="0" w:color="auto"/>
              <w:right w:val="single" w:sz="4" w:space="0" w:color="auto"/>
            </w:tcBorders>
            <w:vAlign w:val="bottom"/>
          </w:tcPr>
          <w:p w:rsidR="002A0BE2" w:rsidRPr="00545A61" w:rsidRDefault="002A0BE2" w:rsidP="002A0BE2">
            <w:pPr>
              <w:ind w:firstLine="209"/>
              <w:rPr>
                <w:rFonts w:ascii="Arial" w:hAnsi="Arial" w:cs="Arial"/>
                <w:sz w:val="20"/>
                <w:szCs w:val="20"/>
              </w:rPr>
            </w:pPr>
            <w:r w:rsidRPr="00545A61">
              <w:rPr>
                <w:rFonts w:ascii="Arial" w:hAnsi="Arial" w:cs="Arial"/>
                <w:sz w:val="20"/>
                <w:szCs w:val="20"/>
              </w:rPr>
              <w:t>Краткосрочни задължения</w:t>
            </w:r>
          </w:p>
        </w:tc>
        <w:tc>
          <w:tcPr>
            <w:tcW w:w="1252" w:type="dxa"/>
            <w:tcBorders>
              <w:top w:val="single" w:sz="4" w:space="0" w:color="auto"/>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48</w:t>
            </w:r>
            <w:r w:rsidR="00B01205" w:rsidRPr="00545A61">
              <w:rPr>
                <w:rFonts w:ascii="Arial" w:hAnsi="Arial" w:cs="Arial"/>
                <w:sz w:val="20"/>
                <w:szCs w:val="20"/>
              </w:rPr>
              <w:t>2</w:t>
            </w:r>
          </w:p>
        </w:tc>
        <w:tc>
          <w:tcPr>
            <w:tcW w:w="1245" w:type="dxa"/>
            <w:tcBorders>
              <w:top w:val="single" w:sz="4" w:space="0" w:color="auto"/>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494</w:t>
            </w:r>
          </w:p>
        </w:tc>
        <w:tc>
          <w:tcPr>
            <w:tcW w:w="1245" w:type="dxa"/>
            <w:tcBorders>
              <w:top w:val="single" w:sz="4" w:space="0" w:color="auto"/>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-2.</w:t>
            </w:r>
            <w:r w:rsidR="002F3865" w:rsidRPr="00545A61">
              <w:rPr>
                <w:rFonts w:ascii="Arial" w:hAnsi="Arial" w:cs="Arial"/>
                <w:sz w:val="20"/>
                <w:szCs w:val="20"/>
              </w:rPr>
              <w:t>4</w:t>
            </w:r>
            <w:r w:rsidRPr="00545A61">
              <w:rPr>
                <w:rFonts w:ascii="Arial" w:hAnsi="Arial" w:cs="Arial"/>
                <w:sz w:val="20"/>
                <w:szCs w:val="20"/>
              </w:rPr>
              <w:t>%</w:t>
            </w:r>
          </w:p>
        </w:tc>
      </w:tr>
      <w:tr w:rsidR="002A0BE2" w:rsidRPr="005E77C9" w:rsidTr="008B74A9">
        <w:trPr>
          <w:trHeight w:val="315"/>
          <w:jc w:val="center"/>
        </w:trPr>
        <w:tc>
          <w:tcPr>
            <w:tcW w:w="4140" w:type="dxa"/>
            <w:tcBorders>
              <w:top w:val="single" w:sz="4" w:space="0" w:color="auto"/>
              <w:left w:val="single" w:sz="4" w:space="0" w:color="auto"/>
              <w:bottom w:val="single" w:sz="4" w:space="0" w:color="auto"/>
              <w:right w:val="single" w:sz="4" w:space="0" w:color="auto"/>
            </w:tcBorders>
            <w:vAlign w:val="bottom"/>
          </w:tcPr>
          <w:p w:rsidR="002A0BE2" w:rsidRPr="00545A61" w:rsidRDefault="002A0BE2" w:rsidP="002A0BE2">
            <w:pPr>
              <w:pStyle w:val="FootnoteText"/>
              <w:ind w:firstLine="209"/>
              <w:rPr>
                <w:rFonts w:ascii="Arial" w:hAnsi="Arial" w:cs="Arial"/>
              </w:rPr>
            </w:pPr>
            <w:r w:rsidRPr="00545A61">
              <w:rPr>
                <w:rFonts w:ascii="Arial" w:hAnsi="Arial" w:cs="Arial"/>
              </w:rPr>
              <w:t xml:space="preserve">Работен капитал </w:t>
            </w:r>
          </w:p>
        </w:tc>
        <w:tc>
          <w:tcPr>
            <w:tcW w:w="1252" w:type="dxa"/>
            <w:tcBorders>
              <w:top w:val="single" w:sz="4" w:space="0" w:color="auto"/>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11 9</w:t>
            </w:r>
            <w:r w:rsidR="00B01205" w:rsidRPr="00545A61">
              <w:rPr>
                <w:rFonts w:ascii="Arial" w:hAnsi="Arial" w:cs="Arial"/>
                <w:sz w:val="20"/>
                <w:szCs w:val="20"/>
              </w:rPr>
              <w:t>30</w:t>
            </w:r>
          </w:p>
        </w:tc>
        <w:tc>
          <w:tcPr>
            <w:tcW w:w="1245" w:type="dxa"/>
            <w:tcBorders>
              <w:top w:val="single" w:sz="4" w:space="0" w:color="auto"/>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11 743</w:t>
            </w:r>
          </w:p>
        </w:tc>
        <w:tc>
          <w:tcPr>
            <w:tcW w:w="1245" w:type="dxa"/>
            <w:tcBorders>
              <w:top w:val="single" w:sz="4" w:space="0" w:color="auto"/>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1.</w:t>
            </w:r>
            <w:r w:rsidR="002F3865" w:rsidRPr="00545A61">
              <w:rPr>
                <w:rFonts w:ascii="Arial" w:hAnsi="Arial" w:cs="Arial"/>
                <w:sz w:val="20"/>
                <w:szCs w:val="20"/>
              </w:rPr>
              <w:t>6</w:t>
            </w:r>
            <w:r w:rsidRPr="00545A61">
              <w:rPr>
                <w:rFonts w:ascii="Arial" w:hAnsi="Arial" w:cs="Arial"/>
                <w:sz w:val="20"/>
                <w:szCs w:val="20"/>
              </w:rPr>
              <w:t>%</w:t>
            </w:r>
          </w:p>
        </w:tc>
      </w:tr>
      <w:tr w:rsidR="002A0BE2" w:rsidRPr="005E77C9" w:rsidTr="008B74A9">
        <w:trPr>
          <w:trHeight w:val="315"/>
          <w:jc w:val="center"/>
        </w:trPr>
        <w:tc>
          <w:tcPr>
            <w:tcW w:w="4140" w:type="dxa"/>
            <w:tcBorders>
              <w:top w:val="single" w:sz="4" w:space="0" w:color="auto"/>
              <w:left w:val="single" w:sz="4" w:space="0" w:color="auto"/>
              <w:bottom w:val="single" w:sz="4" w:space="0" w:color="auto"/>
              <w:right w:val="nil"/>
            </w:tcBorders>
            <w:vAlign w:val="bottom"/>
          </w:tcPr>
          <w:p w:rsidR="002A0BE2" w:rsidRPr="00545A61" w:rsidRDefault="002A0BE2" w:rsidP="002A0BE2">
            <w:pPr>
              <w:pStyle w:val="FootnoteText"/>
              <w:ind w:firstLine="209"/>
              <w:rPr>
                <w:rFonts w:ascii="Arial" w:hAnsi="Arial" w:cs="Arial"/>
              </w:rPr>
            </w:pPr>
            <w:r w:rsidRPr="00545A61">
              <w:rPr>
                <w:rFonts w:ascii="Arial" w:hAnsi="Arial" w:cs="Arial"/>
              </w:rPr>
              <w:t>Зает</w:t>
            </w:r>
            <w:r w:rsidRPr="00545A61">
              <w:rPr>
                <w:rFonts w:ascii="Arial" w:hAnsi="Arial" w:cs="Arial"/>
                <w:lang w:val="en-US"/>
              </w:rPr>
              <w:t xml:space="preserve"> (постоянен)</w:t>
            </w:r>
            <w:r w:rsidRPr="00545A61">
              <w:rPr>
                <w:rFonts w:ascii="Arial" w:hAnsi="Arial" w:cs="Arial"/>
              </w:rPr>
              <w:t xml:space="preserve"> капитал</w:t>
            </w:r>
          </w:p>
        </w:tc>
        <w:tc>
          <w:tcPr>
            <w:tcW w:w="1252" w:type="dxa"/>
            <w:tcBorders>
              <w:top w:val="single" w:sz="4" w:space="0" w:color="auto"/>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16 90</w:t>
            </w:r>
            <w:r w:rsidR="00B01205" w:rsidRPr="00545A61">
              <w:rPr>
                <w:rFonts w:ascii="Arial" w:hAnsi="Arial" w:cs="Arial"/>
                <w:sz w:val="20"/>
                <w:szCs w:val="20"/>
              </w:rPr>
              <w:t>9</w:t>
            </w:r>
          </w:p>
        </w:tc>
        <w:tc>
          <w:tcPr>
            <w:tcW w:w="1245" w:type="dxa"/>
            <w:tcBorders>
              <w:top w:val="single" w:sz="4" w:space="0" w:color="auto"/>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16 692</w:t>
            </w:r>
          </w:p>
        </w:tc>
        <w:tc>
          <w:tcPr>
            <w:tcW w:w="1245" w:type="dxa"/>
            <w:tcBorders>
              <w:top w:val="single" w:sz="4" w:space="0" w:color="auto"/>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1.</w:t>
            </w:r>
            <w:r w:rsidR="002F3865" w:rsidRPr="00545A61">
              <w:rPr>
                <w:rFonts w:ascii="Arial" w:hAnsi="Arial" w:cs="Arial"/>
                <w:sz w:val="20"/>
                <w:szCs w:val="20"/>
              </w:rPr>
              <w:t>3</w:t>
            </w:r>
            <w:r w:rsidRPr="00545A61">
              <w:rPr>
                <w:rFonts w:ascii="Arial" w:hAnsi="Arial" w:cs="Arial"/>
                <w:sz w:val="20"/>
                <w:szCs w:val="20"/>
              </w:rPr>
              <w:t>%</w:t>
            </w:r>
          </w:p>
        </w:tc>
      </w:tr>
      <w:tr w:rsidR="002A0BE2" w:rsidRPr="005E77C9" w:rsidTr="004A6465">
        <w:trPr>
          <w:trHeight w:val="64"/>
          <w:jc w:val="center"/>
        </w:trPr>
        <w:tc>
          <w:tcPr>
            <w:tcW w:w="4140" w:type="dxa"/>
            <w:tcBorders>
              <w:top w:val="single" w:sz="4" w:space="0" w:color="auto"/>
              <w:left w:val="single" w:sz="4" w:space="0" w:color="auto"/>
              <w:bottom w:val="single" w:sz="4" w:space="0" w:color="auto"/>
              <w:right w:val="nil"/>
            </w:tcBorders>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 </w:t>
            </w:r>
          </w:p>
        </w:tc>
        <w:tc>
          <w:tcPr>
            <w:tcW w:w="1252" w:type="dxa"/>
            <w:tcBorders>
              <w:top w:val="nil"/>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 </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 </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 </w:t>
            </w:r>
          </w:p>
        </w:tc>
      </w:tr>
      <w:tr w:rsidR="002A0BE2" w:rsidRPr="005E77C9" w:rsidTr="00135F12">
        <w:trPr>
          <w:trHeight w:val="315"/>
          <w:jc w:val="center"/>
        </w:trPr>
        <w:tc>
          <w:tcPr>
            <w:tcW w:w="4140" w:type="dxa"/>
            <w:tcBorders>
              <w:top w:val="single" w:sz="4" w:space="0" w:color="auto"/>
              <w:left w:val="single" w:sz="4" w:space="0" w:color="auto"/>
              <w:bottom w:val="single" w:sz="4" w:space="0" w:color="auto"/>
              <w:right w:val="nil"/>
            </w:tcBorders>
            <w:vAlign w:val="bottom"/>
          </w:tcPr>
          <w:p w:rsidR="002A0BE2" w:rsidRPr="00545A61" w:rsidRDefault="002A0BE2" w:rsidP="002A0BE2">
            <w:pPr>
              <w:rPr>
                <w:rFonts w:ascii="Arial" w:hAnsi="Arial" w:cs="Arial"/>
                <w:b/>
                <w:sz w:val="20"/>
                <w:szCs w:val="20"/>
              </w:rPr>
            </w:pPr>
            <w:r w:rsidRPr="00545A61">
              <w:rPr>
                <w:rFonts w:ascii="Arial" w:hAnsi="Arial" w:cs="Arial"/>
                <w:b/>
                <w:sz w:val="20"/>
                <w:szCs w:val="20"/>
              </w:rPr>
              <w:t>Дългосрочни пасиви</w:t>
            </w:r>
          </w:p>
        </w:tc>
        <w:tc>
          <w:tcPr>
            <w:tcW w:w="1252" w:type="dxa"/>
            <w:tcBorders>
              <w:top w:val="single" w:sz="4" w:space="0" w:color="auto"/>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33</w:t>
            </w:r>
            <w:r w:rsidR="00B01205" w:rsidRPr="00545A61">
              <w:rPr>
                <w:rFonts w:ascii="Arial" w:hAnsi="Arial" w:cs="Arial"/>
                <w:sz w:val="20"/>
                <w:szCs w:val="20"/>
              </w:rPr>
              <w:t>9</w:t>
            </w:r>
          </w:p>
        </w:tc>
        <w:tc>
          <w:tcPr>
            <w:tcW w:w="1245" w:type="dxa"/>
            <w:tcBorders>
              <w:top w:val="single" w:sz="4" w:space="0" w:color="auto"/>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342</w:t>
            </w:r>
          </w:p>
        </w:tc>
        <w:tc>
          <w:tcPr>
            <w:tcW w:w="1245" w:type="dxa"/>
            <w:tcBorders>
              <w:top w:val="single" w:sz="4" w:space="0" w:color="auto"/>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w:t>
            </w:r>
            <w:r w:rsidR="002F3865" w:rsidRPr="00545A61">
              <w:rPr>
                <w:rFonts w:ascii="Arial" w:hAnsi="Arial" w:cs="Arial"/>
                <w:sz w:val="20"/>
                <w:szCs w:val="20"/>
              </w:rPr>
              <w:t>0</w:t>
            </w:r>
            <w:r w:rsidRPr="00545A61">
              <w:rPr>
                <w:rFonts w:ascii="Arial" w:hAnsi="Arial" w:cs="Arial"/>
                <w:sz w:val="20"/>
                <w:szCs w:val="20"/>
              </w:rPr>
              <w:t>.</w:t>
            </w:r>
            <w:r w:rsidR="002F3865" w:rsidRPr="00545A61">
              <w:rPr>
                <w:rFonts w:ascii="Arial" w:hAnsi="Arial" w:cs="Arial"/>
                <w:sz w:val="20"/>
                <w:szCs w:val="20"/>
              </w:rPr>
              <w:t>9</w:t>
            </w:r>
            <w:r w:rsidRPr="00545A61">
              <w:rPr>
                <w:rFonts w:ascii="Arial" w:hAnsi="Arial" w:cs="Arial"/>
                <w:sz w:val="20"/>
                <w:szCs w:val="20"/>
              </w:rPr>
              <w:t>%</w:t>
            </w:r>
          </w:p>
        </w:tc>
      </w:tr>
      <w:tr w:rsidR="002A0BE2" w:rsidRPr="005E77C9" w:rsidTr="00135F12">
        <w:trPr>
          <w:trHeight w:val="315"/>
          <w:jc w:val="center"/>
        </w:trPr>
        <w:tc>
          <w:tcPr>
            <w:tcW w:w="4140" w:type="dxa"/>
            <w:tcBorders>
              <w:top w:val="single" w:sz="4" w:space="0" w:color="auto"/>
              <w:left w:val="single" w:sz="4" w:space="0" w:color="auto"/>
              <w:bottom w:val="single" w:sz="4" w:space="0" w:color="auto"/>
              <w:right w:val="nil"/>
            </w:tcBorders>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Други</w:t>
            </w:r>
          </w:p>
        </w:tc>
        <w:tc>
          <w:tcPr>
            <w:tcW w:w="1252" w:type="dxa"/>
            <w:tcBorders>
              <w:top w:val="single" w:sz="4" w:space="0" w:color="auto"/>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 </w:t>
            </w:r>
          </w:p>
        </w:tc>
        <w:tc>
          <w:tcPr>
            <w:tcW w:w="1245" w:type="dxa"/>
            <w:tcBorders>
              <w:top w:val="single" w:sz="4" w:space="0" w:color="auto"/>
              <w:left w:val="nil"/>
              <w:bottom w:val="single" w:sz="4" w:space="0" w:color="auto"/>
              <w:right w:val="single" w:sz="4" w:space="0" w:color="auto"/>
            </w:tcBorders>
            <w:shd w:val="clear" w:color="000000" w:fill="FFFFFF"/>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 </w:t>
            </w:r>
          </w:p>
        </w:tc>
        <w:tc>
          <w:tcPr>
            <w:tcW w:w="1245" w:type="dxa"/>
            <w:tcBorders>
              <w:top w:val="single" w:sz="4" w:space="0" w:color="auto"/>
              <w:left w:val="nil"/>
              <w:bottom w:val="single" w:sz="4" w:space="0" w:color="auto"/>
              <w:right w:val="single" w:sz="4" w:space="0" w:color="auto"/>
            </w:tcBorders>
            <w:shd w:val="clear" w:color="000000" w:fill="FFFFFF"/>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 </w:t>
            </w:r>
          </w:p>
        </w:tc>
      </w:tr>
      <w:tr w:rsidR="002A0BE2" w:rsidRPr="005E77C9" w:rsidTr="00B82B16">
        <w:trPr>
          <w:trHeight w:val="315"/>
          <w:jc w:val="center"/>
        </w:trPr>
        <w:tc>
          <w:tcPr>
            <w:tcW w:w="4140" w:type="dxa"/>
            <w:tcBorders>
              <w:top w:val="single" w:sz="4" w:space="0" w:color="auto"/>
              <w:left w:val="single" w:sz="4" w:space="0" w:color="auto"/>
              <w:bottom w:val="single" w:sz="4" w:space="0" w:color="auto"/>
              <w:right w:val="nil"/>
            </w:tcBorders>
            <w:vAlign w:val="bottom"/>
          </w:tcPr>
          <w:p w:rsidR="002A0BE2" w:rsidRPr="00545A61" w:rsidRDefault="002A0BE2" w:rsidP="002A0BE2">
            <w:pPr>
              <w:pStyle w:val="FootnoteText"/>
              <w:rPr>
                <w:rFonts w:ascii="Arial" w:hAnsi="Arial" w:cs="Arial"/>
              </w:rPr>
            </w:pPr>
            <w:r w:rsidRPr="00545A61">
              <w:rPr>
                <w:rFonts w:ascii="Arial" w:hAnsi="Arial" w:cs="Arial"/>
              </w:rPr>
              <w:t xml:space="preserve">Чиста стойност на активите </w:t>
            </w:r>
          </w:p>
        </w:tc>
        <w:tc>
          <w:tcPr>
            <w:tcW w:w="1252" w:type="dxa"/>
            <w:tcBorders>
              <w:top w:val="nil"/>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 xml:space="preserve">16 </w:t>
            </w:r>
            <w:r w:rsidR="006D4B6B" w:rsidRPr="00545A61">
              <w:rPr>
                <w:rFonts w:ascii="Arial" w:hAnsi="Arial" w:cs="Arial"/>
                <w:sz w:val="20"/>
                <w:szCs w:val="20"/>
              </w:rPr>
              <w:t>570</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16 350</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1.3%</w:t>
            </w:r>
          </w:p>
        </w:tc>
      </w:tr>
      <w:tr w:rsidR="002A0BE2" w:rsidRPr="005E77C9" w:rsidTr="00B82B16">
        <w:trPr>
          <w:trHeight w:val="70"/>
          <w:jc w:val="center"/>
        </w:trPr>
        <w:tc>
          <w:tcPr>
            <w:tcW w:w="4140" w:type="dxa"/>
            <w:tcBorders>
              <w:top w:val="single" w:sz="4" w:space="0" w:color="auto"/>
              <w:left w:val="single" w:sz="4" w:space="0" w:color="auto"/>
              <w:bottom w:val="single" w:sz="4" w:space="0" w:color="auto"/>
              <w:right w:val="nil"/>
            </w:tcBorders>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 </w:t>
            </w:r>
          </w:p>
        </w:tc>
        <w:tc>
          <w:tcPr>
            <w:tcW w:w="1252" w:type="dxa"/>
            <w:tcBorders>
              <w:top w:val="nil"/>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 </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 </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 </w:t>
            </w:r>
          </w:p>
        </w:tc>
      </w:tr>
      <w:tr w:rsidR="002A0BE2" w:rsidRPr="005E77C9" w:rsidTr="00B82B16">
        <w:trPr>
          <w:trHeight w:val="315"/>
          <w:jc w:val="center"/>
        </w:trPr>
        <w:tc>
          <w:tcPr>
            <w:tcW w:w="4140" w:type="dxa"/>
            <w:tcBorders>
              <w:top w:val="single" w:sz="4" w:space="0" w:color="auto"/>
              <w:left w:val="single" w:sz="4" w:space="0" w:color="auto"/>
              <w:bottom w:val="single" w:sz="4" w:space="0" w:color="auto"/>
              <w:right w:val="nil"/>
            </w:tcBorders>
            <w:vAlign w:val="bottom"/>
          </w:tcPr>
          <w:p w:rsidR="002A0BE2" w:rsidRPr="00545A61" w:rsidRDefault="002A0BE2" w:rsidP="002A0BE2">
            <w:pPr>
              <w:rPr>
                <w:rFonts w:ascii="Arial" w:hAnsi="Arial" w:cs="Arial"/>
                <w:b/>
                <w:sz w:val="20"/>
                <w:szCs w:val="20"/>
              </w:rPr>
            </w:pPr>
            <w:r w:rsidRPr="00545A61">
              <w:rPr>
                <w:rFonts w:ascii="Arial" w:hAnsi="Arial" w:cs="Arial"/>
                <w:b/>
                <w:sz w:val="20"/>
                <w:szCs w:val="20"/>
              </w:rPr>
              <w:t>Печалба (загуба)</w:t>
            </w:r>
          </w:p>
        </w:tc>
        <w:tc>
          <w:tcPr>
            <w:tcW w:w="1252" w:type="dxa"/>
            <w:tcBorders>
              <w:top w:val="nil"/>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506</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556</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-9.0%</w:t>
            </w:r>
          </w:p>
        </w:tc>
      </w:tr>
      <w:tr w:rsidR="002A0BE2" w:rsidRPr="005E77C9" w:rsidTr="00B82B16">
        <w:trPr>
          <w:trHeight w:val="315"/>
          <w:jc w:val="center"/>
        </w:trPr>
        <w:tc>
          <w:tcPr>
            <w:tcW w:w="4140" w:type="dxa"/>
            <w:tcBorders>
              <w:top w:val="single" w:sz="4" w:space="0" w:color="auto"/>
              <w:left w:val="single" w:sz="4" w:space="0" w:color="auto"/>
              <w:bottom w:val="single" w:sz="4" w:space="0" w:color="auto"/>
              <w:right w:val="single" w:sz="4" w:space="0" w:color="auto"/>
            </w:tcBorders>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Финансов резултат от минали години</w:t>
            </w:r>
          </w:p>
        </w:tc>
        <w:tc>
          <w:tcPr>
            <w:tcW w:w="1252" w:type="dxa"/>
            <w:tcBorders>
              <w:top w:val="nil"/>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1 09</w:t>
            </w:r>
            <w:r w:rsidR="00B01205" w:rsidRPr="00545A61">
              <w:rPr>
                <w:rFonts w:ascii="Arial" w:hAnsi="Arial" w:cs="Arial"/>
                <w:sz w:val="20"/>
                <w:szCs w:val="20"/>
              </w:rPr>
              <w:t>7</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1 105</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r w:rsidR="002F3865" w:rsidRPr="00545A61">
              <w:rPr>
                <w:rFonts w:ascii="Arial" w:hAnsi="Arial" w:cs="Arial"/>
                <w:sz w:val="20"/>
                <w:szCs w:val="20"/>
              </w:rPr>
              <w:t>7</w:t>
            </w:r>
            <w:r w:rsidRPr="00545A61">
              <w:rPr>
                <w:rFonts w:ascii="Arial" w:hAnsi="Arial" w:cs="Arial"/>
                <w:sz w:val="20"/>
                <w:szCs w:val="20"/>
              </w:rPr>
              <w:t>%</w:t>
            </w:r>
          </w:p>
        </w:tc>
      </w:tr>
      <w:tr w:rsidR="002A0BE2" w:rsidRPr="005E77C9" w:rsidTr="00B82B16">
        <w:trPr>
          <w:trHeight w:val="315"/>
          <w:jc w:val="center"/>
        </w:trPr>
        <w:tc>
          <w:tcPr>
            <w:tcW w:w="4140" w:type="dxa"/>
            <w:tcBorders>
              <w:top w:val="single" w:sz="4" w:space="0" w:color="auto"/>
              <w:left w:val="single" w:sz="4" w:space="0" w:color="auto"/>
              <w:bottom w:val="single" w:sz="4" w:space="0" w:color="auto"/>
              <w:right w:val="nil"/>
            </w:tcBorders>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 xml:space="preserve">Резерви </w:t>
            </w:r>
          </w:p>
        </w:tc>
        <w:tc>
          <w:tcPr>
            <w:tcW w:w="1252" w:type="dxa"/>
            <w:tcBorders>
              <w:top w:val="nil"/>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12 305</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12 027</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2.3%</w:t>
            </w:r>
          </w:p>
        </w:tc>
      </w:tr>
      <w:tr w:rsidR="002A0BE2" w:rsidRPr="005E77C9" w:rsidTr="00B82B16">
        <w:trPr>
          <w:trHeight w:val="315"/>
          <w:jc w:val="center"/>
        </w:trPr>
        <w:tc>
          <w:tcPr>
            <w:tcW w:w="4140" w:type="dxa"/>
            <w:tcBorders>
              <w:top w:val="single" w:sz="4" w:space="0" w:color="auto"/>
              <w:left w:val="single" w:sz="4" w:space="0" w:color="auto"/>
              <w:bottom w:val="single" w:sz="4" w:space="0" w:color="auto"/>
              <w:right w:val="nil"/>
            </w:tcBorders>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Основен капитал</w:t>
            </w:r>
          </w:p>
        </w:tc>
        <w:tc>
          <w:tcPr>
            <w:tcW w:w="1252" w:type="dxa"/>
            <w:tcBorders>
              <w:top w:val="nil"/>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2 662</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2 662</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0.0%</w:t>
            </w:r>
          </w:p>
        </w:tc>
      </w:tr>
      <w:tr w:rsidR="002A0BE2" w:rsidRPr="005E77C9" w:rsidTr="00B82B16">
        <w:trPr>
          <w:trHeight w:val="315"/>
          <w:jc w:val="center"/>
        </w:trPr>
        <w:tc>
          <w:tcPr>
            <w:tcW w:w="4140" w:type="dxa"/>
            <w:tcBorders>
              <w:top w:val="single" w:sz="4" w:space="0" w:color="auto"/>
              <w:left w:val="single" w:sz="4" w:space="0" w:color="auto"/>
              <w:bottom w:val="single" w:sz="4" w:space="0" w:color="auto"/>
              <w:right w:val="nil"/>
            </w:tcBorders>
            <w:vAlign w:val="bottom"/>
          </w:tcPr>
          <w:p w:rsidR="002A0BE2" w:rsidRPr="00545A61" w:rsidRDefault="002A0BE2" w:rsidP="002A0BE2">
            <w:pPr>
              <w:rPr>
                <w:rFonts w:ascii="Arial" w:hAnsi="Arial" w:cs="Arial"/>
                <w:b/>
                <w:sz w:val="20"/>
                <w:szCs w:val="20"/>
              </w:rPr>
            </w:pPr>
            <w:r w:rsidRPr="00545A61">
              <w:rPr>
                <w:rFonts w:ascii="Arial" w:hAnsi="Arial" w:cs="Arial"/>
                <w:b/>
                <w:sz w:val="20"/>
                <w:szCs w:val="20"/>
              </w:rPr>
              <w:t>Собствен капитал</w:t>
            </w:r>
          </w:p>
        </w:tc>
        <w:tc>
          <w:tcPr>
            <w:tcW w:w="1252" w:type="dxa"/>
            <w:tcBorders>
              <w:top w:val="nil"/>
              <w:left w:val="single" w:sz="4" w:space="0" w:color="auto"/>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16 5</w:t>
            </w:r>
            <w:r w:rsidR="00B01205" w:rsidRPr="00545A61">
              <w:rPr>
                <w:rFonts w:ascii="Arial" w:hAnsi="Arial" w:cs="Arial"/>
                <w:sz w:val="20"/>
                <w:szCs w:val="20"/>
              </w:rPr>
              <w:t>70</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16 350</w:t>
            </w:r>
          </w:p>
        </w:tc>
        <w:tc>
          <w:tcPr>
            <w:tcW w:w="1245" w:type="dxa"/>
            <w:tcBorders>
              <w:top w:val="nil"/>
              <w:left w:val="nil"/>
              <w:bottom w:val="single" w:sz="4" w:space="0" w:color="auto"/>
              <w:right w:val="single" w:sz="4" w:space="0" w:color="auto"/>
            </w:tcBorders>
            <w:shd w:val="clear" w:color="000000" w:fill="FFFFFF"/>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1.3%</w:t>
            </w:r>
          </w:p>
        </w:tc>
      </w:tr>
    </w:tbl>
    <w:p w:rsidR="006B5258" w:rsidRPr="005E77C9" w:rsidRDefault="006B5258" w:rsidP="006B5258">
      <w:pPr>
        <w:spacing w:after="120"/>
        <w:ind w:firstLine="706"/>
        <w:jc w:val="both"/>
      </w:pPr>
    </w:p>
    <w:p w:rsidR="00143513" w:rsidRPr="005E77C9" w:rsidRDefault="00143513" w:rsidP="00143513">
      <w:pPr>
        <w:spacing w:after="120"/>
        <w:ind w:firstLine="706"/>
        <w:jc w:val="both"/>
      </w:pPr>
      <w:r w:rsidRPr="005E77C9">
        <w:t>Краткотрайните активи, с които дружеството разполага към края на отчетната година, възлизат на 12 412 хил.</w:t>
      </w:r>
      <w:r w:rsidR="00BB77A4" w:rsidRPr="005E77C9">
        <w:t xml:space="preserve"> </w:t>
      </w:r>
      <w:r w:rsidRPr="005E77C9">
        <w:t>лв., което представлява 71% от стойността на Актива на комплекса. В сравнение с края на предходната година тяхната стойност се е увеличила с 175 хил.</w:t>
      </w:r>
      <w:r w:rsidR="00BB77A4" w:rsidRPr="005E77C9">
        <w:t xml:space="preserve"> </w:t>
      </w:r>
      <w:r w:rsidRPr="005E77C9">
        <w:t>лв. (1%). От тях:</w:t>
      </w:r>
    </w:p>
    <w:p w:rsidR="00143513" w:rsidRPr="005E77C9" w:rsidRDefault="00143513" w:rsidP="00143513">
      <w:pPr>
        <w:pStyle w:val="ListParagraph"/>
        <w:numPr>
          <w:ilvl w:val="5"/>
          <w:numId w:val="20"/>
        </w:numPr>
        <w:tabs>
          <w:tab w:val="left" w:pos="1276"/>
        </w:tabs>
        <w:spacing w:after="120"/>
        <w:ind w:left="0" w:firstLine="993"/>
        <w:contextualSpacing w:val="0"/>
        <w:jc w:val="both"/>
      </w:pPr>
      <w:r w:rsidRPr="005E77C9">
        <w:rPr>
          <w:i/>
        </w:rPr>
        <w:t>Материалните запаси</w:t>
      </w:r>
      <w:r w:rsidRPr="005E77C9">
        <w:t xml:space="preserve"> представляват 1,5% от стойността на Актива на дружеството. През отчетния период тяхната стойност спрямо 2018 г. намалява с -8 хил.</w:t>
      </w:r>
      <w:r w:rsidR="00BB77A4" w:rsidRPr="005E77C9">
        <w:t xml:space="preserve"> </w:t>
      </w:r>
      <w:r w:rsidRPr="005E77C9">
        <w:t>лв. (-3 %) и възлиза на 256 хил.</w:t>
      </w:r>
      <w:r w:rsidR="00BB77A4" w:rsidRPr="005E77C9">
        <w:t xml:space="preserve"> </w:t>
      </w:r>
      <w:r w:rsidRPr="005E77C9">
        <w:t xml:space="preserve">лв. към 31.12.2019 г. </w:t>
      </w:r>
    </w:p>
    <w:p w:rsidR="00143513" w:rsidRPr="002B683F" w:rsidRDefault="00143513" w:rsidP="00143513">
      <w:pPr>
        <w:pStyle w:val="ListParagraph"/>
        <w:numPr>
          <w:ilvl w:val="5"/>
          <w:numId w:val="20"/>
        </w:numPr>
        <w:tabs>
          <w:tab w:val="left" w:pos="1276"/>
        </w:tabs>
        <w:spacing w:after="120"/>
        <w:ind w:left="0" w:firstLine="993"/>
        <w:contextualSpacing w:val="0"/>
        <w:jc w:val="both"/>
      </w:pPr>
      <w:r w:rsidRPr="002B683F">
        <w:rPr>
          <w:i/>
        </w:rPr>
        <w:t>Краткосрочните вземания</w:t>
      </w:r>
      <w:r w:rsidRPr="002B683F">
        <w:t xml:space="preserve"> заемат 16 % от Актива. Към края на 2019 г. те възлизат на 2 754 хил.</w:t>
      </w:r>
      <w:r w:rsidR="00BB77A4" w:rsidRPr="002B683F">
        <w:t xml:space="preserve"> </w:t>
      </w:r>
      <w:r w:rsidRPr="002B683F">
        <w:t>лв., като вземанията от клиенти са 25 % от тях и са на стойност 694 хил.</w:t>
      </w:r>
      <w:r w:rsidR="00BB77A4" w:rsidRPr="002B683F">
        <w:t xml:space="preserve"> </w:t>
      </w:r>
      <w:r w:rsidRPr="002B683F">
        <w:t>лв. Обемът на последните е с 14 % повече спрямо края на 2018 г. Другите вземания на дружеството на</w:t>
      </w:r>
      <w:r w:rsidR="004B158C" w:rsidRPr="002B683F">
        <w:t>маляват</w:t>
      </w:r>
      <w:r w:rsidRPr="002B683F">
        <w:t xml:space="preserve"> с 40 хил.</w:t>
      </w:r>
      <w:r w:rsidR="00BB77A4" w:rsidRPr="002B683F">
        <w:t xml:space="preserve"> </w:t>
      </w:r>
      <w:r w:rsidRPr="002B683F">
        <w:t>лв. В края на годината са обезценени трудносъбираеми вземания в размер на 8 хил.</w:t>
      </w:r>
      <w:r w:rsidR="00BB77A4" w:rsidRPr="002B683F">
        <w:t xml:space="preserve"> </w:t>
      </w:r>
      <w:r w:rsidRPr="002B683F">
        <w:t>лв.</w:t>
      </w:r>
    </w:p>
    <w:p w:rsidR="006B5258" w:rsidRPr="005E77C9" w:rsidRDefault="00143513" w:rsidP="00143513">
      <w:pPr>
        <w:spacing w:after="120"/>
        <w:ind w:firstLine="851"/>
        <w:jc w:val="both"/>
        <w:rPr>
          <w:rFonts w:eastAsia="Times New Roman"/>
          <w:lang w:eastAsia="bg-BG"/>
        </w:rPr>
      </w:pPr>
      <w:r w:rsidRPr="005E77C9">
        <w:t xml:space="preserve">Към края на 2018 г. </w:t>
      </w:r>
      <w:r w:rsidRPr="005E77C9">
        <w:rPr>
          <w:i/>
        </w:rPr>
        <w:t>Паричните средства</w:t>
      </w:r>
      <w:r w:rsidRPr="005E77C9">
        <w:t xml:space="preserve"> запазват дела си в общата стойност на актива, като те представляват 54 % от стойността на активите при 5</w:t>
      </w:r>
      <w:r w:rsidR="004B158C" w:rsidRPr="005E77C9">
        <w:t>4</w:t>
      </w:r>
      <w:r w:rsidRPr="005E77C9">
        <w:t xml:space="preserve"> % към 31.12.2018 г. </w:t>
      </w:r>
      <w:r w:rsidRPr="005E77C9">
        <w:lastRenderedPageBreak/>
        <w:t>Дружеството приключва 2019 г. с парични сре</w:t>
      </w:r>
      <w:r w:rsidR="004A6465" w:rsidRPr="005E77C9">
        <w:t>дства в размер на 9 402 хил.</w:t>
      </w:r>
      <w:r w:rsidR="00BB77A4" w:rsidRPr="005E77C9">
        <w:t xml:space="preserve"> </w:t>
      </w:r>
      <w:r w:rsidR="004A6465" w:rsidRPr="005E77C9">
        <w:t xml:space="preserve">лв. </w:t>
      </w:r>
      <w:r w:rsidR="004B158C" w:rsidRPr="005E77C9">
        <w:t>(+</w:t>
      </w:r>
      <w:r w:rsidRPr="005E77C9">
        <w:t>137 хил.</w:t>
      </w:r>
      <w:r w:rsidR="00BB77A4" w:rsidRPr="005E77C9">
        <w:t xml:space="preserve"> </w:t>
      </w:r>
      <w:r w:rsidRPr="005E77C9">
        <w:t>лв. спрямо края на 2018 г</w:t>
      </w:r>
      <w:r w:rsidR="004A6465" w:rsidRPr="005E77C9">
        <w:t>.</w:t>
      </w:r>
      <w:r w:rsidR="004B158C" w:rsidRPr="005E77C9">
        <w:t>)</w:t>
      </w:r>
      <w:r w:rsidR="004E0476" w:rsidRPr="005E77C9">
        <w:t>.</w:t>
      </w:r>
    </w:p>
    <w:p w:rsidR="00D17BBE" w:rsidRPr="005E77C9" w:rsidRDefault="00D17BBE" w:rsidP="00D17BBE">
      <w:bookmarkStart w:id="66" w:name="_Toc288478121"/>
    </w:p>
    <w:p w:rsidR="00D17BBE" w:rsidRPr="005E77C9" w:rsidRDefault="001E1227" w:rsidP="00143513">
      <w:pPr>
        <w:pStyle w:val="Heading3"/>
        <w:ind w:left="720"/>
        <w:jc w:val="left"/>
        <w:rPr>
          <w:rFonts w:ascii="Times New Roman" w:hAnsi="Times New Roman"/>
        </w:rPr>
      </w:pPr>
      <w:bookmarkStart w:id="67" w:name="_Toc40777305"/>
      <w:r w:rsidRPr="005E77C9">
        <w:rPr>
          <w:rFonts w:ascii="Times New Roman" w:hAnsi="Times New Roman"/>
        </w:rPr>
        <w:t xml:space="preserve">6.2. </w:t>
      </w:r>
      <w:r w:rsidR="00FF57E5" w:rsidRPr="005E77C9">
        <w:rPr>
          <w:rFonts w:ascii="Times New Roman" w:hAnsi="Times New Roman"/>
        </w:rPr>
        <w:t>По-големи вземания от клиенти и доставчици</w:t>
      </w:r>
      <w:bookmarkEnd w:id="66"/>
      <w:bookmarkEnd w:id="67"/>
    </w:p>
    <w:tbl>
      <w:tblPr>
        <w:tblpPr w:leftFromText="141" w:rightFromText="141" w:vertAnchor="text" w:horzAnchor="margin" w:tblpY="169"/>
        <w:tblW w:w="10020" w:type="dxa"/>
        <w:tblLayout w:type="fixed"/>
        <w:tblCellMar>
          <w:left w:w="70" w:type="dxa"/>
          <w:right w:w="70" w:type="dxa"/>
        </w:tblCellMar>
        <w:tblLook w:val="0000" w:firstRow="0" w:lastRow="0" w:firstColumn="0" w:lastColumn="0" w:noHBand="0" w:noVBand="0"/>
      </w:tblPr>
      <w:tblGrid>
        <w:gridCol w:w="398"/>
        <w:gridCol w:w="3969"/>
        <w:gridCol w:w="1333"/>
        <w:gridCol w:w="1130"/>
        <w:gridCol w:w="1080"/>
        <w:gridCol w:w="935"/>
        <w:gridCol w:w="1175"/>
      </w:tblGrid>
      <w:tr w:rsidR="00B73F29" w:rsidRPr="00545A61">
        <w:trPr>
          <w:trHeight w:val="277"/>
        </w:trPr>
        <w:tc>
          <w:tcPr>
            <w:tcW w:w="398"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tcPr>
          <w:p w:rsidR="00B73F29" w:rsidRPr="00545A61" w:rsidRDefault="00B73F29" w:rsidP="00391DB4">
            <w:pPr>
              <w:jc w:val="center"/>
              <w:rPr>
                <w:rFonts w:ascii="Arial" w:hAnsi="Arial" w:cs="Arial"/>
                <w:sz w:val="20"/>
                <w:szCs w:val="20"/>
              </w:rPr>
            </w:pPr>
            <w:r w:rsidRPr="00545A61">
              <w:rPr>
                <w:rFonts w:ascii="Arial" w:hAnsi="Arial" w:cs="Arial"/>
                <w:sz w:val="20"/>
                <w:szCs w:val="20"/>
              </w:rPr>
              <w:t>№</w:t>
            </w:r>
          </w:p>
        </w:tc>
        <w:tc>
          <w:tcPr>
            <w:tcW w:w="3969" w:type="dxa"/>
            <w:vMerge w:val="restart"/>
            <w:tcBorders>
              <w:top w:val="single" w:sz="4" w:space="0" w:color="auto"/>
              <w:left w:val="single" w:sz="4" w:space="0" w:color="auto"/>
              <w:bottom w:val="single" w:sz="4" w:space="0" w:color="000000"/>
              <w:right w:val="single" w:sz="4" w:space="0" w:color="auto"/>
            </w:tcBorders>
            <w:shd w:val="clear" w:color="auto" w:fill="C0C0C0"/>
            <w:noWrap/>
            <w:vAlign w:val="center"/>
          </w:tcPr>
          <w:p w:rsidR="00B73F29" w:rsidRPr="00545A61" w:rsidRDefault="00B73F29" w:rsidP="00391DB4">
            <w:pPr>
              <w:jc w:val="center"/>
              <w:rPr>
                <w:rFonts w:ascii="Arial" w:hAnsi="Arial" w:cs="Arial"/>
                <w:sz w:val="20"/>
                <w:szCs w:val="20"/>
              </w:rPr>
            </w:pPr>
            <w:r w:rsidRPr="00545A61">
              <w:rPr>
                <w:rFonts w:ascii="Arial" w:hAnsi="Arial" w:cs="Arial"/>
                <w:sz w:val="20"/>
                <w:szCs w:val="20"/>
              </w:rPr>
              <w:t>Вземания по контрагенти</w:t>
            </w:r>
          </w:p>
        </w:tc>
        <w:tc>
          <w:tcPr>
            <w:tcW w:w="1333" w:type="dxa"/>
            <w:vMerge w:val="restart"/>
            <w:tcBorders>
              <w:top w:val="single" w:sz="4" w:space="0" w:color="auto"/>
              <w:left w:val="single" w:sz="4" w:space="0" w:color="auto"/>
              <w:bottom w:val="single" w:sz="4" w:space="0" w:color="000000"/>
              <w:right w:val="single" w:sz="4" w:space="0" w:color="auto"/>
            </w:tcBorders>
            <w:shd w:val="clear" w:color="auto" w:fill="C0C0C0"/>
            <w:vAlign w:val="center"/>
          </w:tcPr>
          <w:p w:rsidR="00B73F29" w:rsidRPr="00545A61" w:rsidRDefault="00B73F29" w:rsidP="00391DB4">
            <w:pPr>
              <w:jc w:val="center"/>
              <w:rPr>
                <w:rFonts w:ascii="Arial" w:hAnsi="Arial" w:cs="Arial"/>
                <w:sz w:val="20"/>
                <w:szCs w:val="20"/>
              </w:rPr>
            </w:pPr>
            <w:r w:rsidRPr="00545A61">
              <w:rPr>
                <w:rFonts w:ascii="Arial" w:hAnsi="Arial" w:cs="Arial"/>
                <w:sz w:val="20"/>
                <w:szCs w:val="20"/>
              </w:rPr>
              <w:t>Общ размер</w:t>
            </w:r>
          </w:p>
        </w:tc>
        <w:tc>
          <w:tcPr>
            <w:tcW w:w="3145" w:type="dxa"/>
            <w:gridSpan w:val="3"/>
            <w:tcBorders>
              <w:top w:val="single" w:sz="4" w:space="0" w:color="auto"/>
              <w:left w:val="nil"/>
              <w:bottom w:val="single" w:sz="4" w:space="0" w:color="auto"/>
              <w:right w:val="single" w:sz="4" w:space="0" w:color="000000"/>
            </w:tcBorders>
            <w:shd w:val="clear" w:color="auto" w:fill="C0C0C0"/>
          </w:tcPr>
          <w:p w:rsidR="00B73F29" w:rsidRPr="00545A61" w:rsidRDefault="00B73F29" w:rsidP="00391DB4">
            <w:pPr>
              <w:jc w:val="center"/>
              <w:rPr>
                <w:rFonts w:ascii="Arial" w:hAnsi="Arial" w:cs="Arial"/>
                <w:sz w:val="20"/>
                <w:szCs w:val="20"/>
              </w:rPr>
            </w:pPr>
            <w:r w:rsidRPr="00545A61">
              <w:rPr>
                <w:rFonts w:ascii="Arial" w:hAnsi="Arial" w:cs="Arial"/>
                <w:sz w:val="20"/>
                <w:szCs w:val="20"/>
              </w:rPr>
              <w:t>Възраст на вземанията</w:t>
            </w:r>
          </w:p>
        </w:tc>
        <w:tc>
          <w:tcPr>
            <w:tcW w:w="1175" w:type="dxa"/>
            <w:vMerge w:val="restart"/>
            <w:tcBorders>
              <w:top w:val="single" w:sz="4" w:space="0" w:color="auto"/>
              <w:left w:val="single" w:sz="4" w:space="0" w:color="auto"/>
              <w:bottom w:val="single" w:sz="4" w:space="0" w:color="000000"/>
              <w:right w:val="single" w:sz="4" w:space="0" w:color="auto"/>
            </w:tcBorders>
            <w:shd w:val="clear" w:color="auto" w:fill="C0C0C0"/>
            <w:vAlign w:val="center"/>
          </w:tcPr>
          <w:p w:rsidR="00B73F29" w:rsidRPr="00545A61" w:rsidRDefault="00B73F29" w:rsidP="00391DB4">
            <w:pPr>
              <w:jc w:val="center"/>
              <w:rPr>
                <w:rFonts w:ascii="Arial" w:hAnsi="Arial" w:cs="Arial"/>
                <w:sz w:val="20"/>
                <w:szCs w:val="20"/>
              </w:rPr>
            </w:pPr>
            <w:r w:rsidRPr="00545A61">
              <w:rPr>
                <w:rFonts w:ascii="Arial" w:hAnsi="Arial" w:cs="Arial"/>
                <w:sz w:val="20"/>
                <w:szCs w:val="20"/>
              </w:rPr>
              <w:t>Просроч. вземания</w:t>
            </w:r>
          </w:p>
        </w:tc>
      </w:tr>
      <w:tr w:rsidR="00B73F29" w:rsidRPr="00545A61">
        <w:trPr>
          <w:trHeight w:val="293"/>
        </w:trPr>
        <w:tc>
          <w:tcPr>
            <w:tcW w:w="3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73F29" w:rsidRPr="00545A61" w:rsidRDefault="00B73F29" w:rsidP="00391DB4">
            <w:pPr>
              <w:rPr>
                <w:rFonts w:ascii="Arial" w:hAnsi="Arial" w:cs="Arial"/>
                <w:sz w:val="20"/>
                <w:szCs w:val="20"/>
              </w:rPr>
            </w:pPr>
          </w:p>
        </w:tc>
        <w:tc>
          <w:tcPr>
            <w:tcW w:w="3969"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B73F29" w:rsidRPr="00545A61" w:rsidRDefault="00B73F29" w:rsidP="00391DB4">
            <w:pPr>
              <w:rPr>
                <w:rFonts w:ascii="Arial" w:hAnsi="Arial" w:cs="Arial"/>
                <w:sz w:val="20"/>
                <w:szCs w:val="20"/>
              </w:rPr>
            </w:pPr>
          </w:p>
        </w:tc>
        <w:tc>
          <w:tcPr>
            <w:tcW w:w="1333"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B73F29" w:rsidRPr="00545A61" w:rsidRDefault="00B73F29" w:rsidP="00391DB4">
            <w:pPr>
              <w:rPr>
                <w:rFonts w:ascii="Arial" w:hAnsi="Arial" w:cs="Arial"/>
                <w:sz w:val="20"/>
                <w:szCs w:val="20"/>
              </w:rPr>
            </w:pPr>
          </w:p>
        </w:tc>
        <w:tc>
          <w:tcPr>
            <w:tcW w:w="1130" w:type="dxa"/>
            <w:tcBorders>
              <w:top w:val="nil"/>
              <w:left w:val="nil"/>
              <w:bottom w:val="single" w:sz="4" w:space="0" w:color="auto"/>
              <w:right w:val="single" w:sz="4" w:space="0" w:color="auto"/>
            </w:tcBorders>
            <w:shd w:val="clear" w:color="auto" w:fill="C0C0C0"/>
          </w:tcPr>
          <w:p w:rsidR="00B73F29" w:rsidRPr="00545A61" w:rsidRDefault="00B73F29" w:rsidP="00391DB4">
            <w:pPr>
              <w:jc w:val="center"/>
              <w:rPr>
                <w:rFonts w:ascii="Arial" w:hAnsi="Arial" w:cs="Arial"/>
                <w:sz w:val="20"/>
                <w:szCs w:val="20"/>
              </w:rPr>
            </w:pPr>
            <w:r w:rsidRPr="00545A61">
              <w:rPr>
                <w:rFonts w:ascii="Arial" w:hAnsi="Arial" w:cs="Arial"/>
                <w:sz w:val="20"/>
                <w:szCs w:val="20"/>
              </w:rPr>
              <w:t>до 3 м.</w:t>
            </w:r>
          </w:p>
        </w:tc>
        <w:tc>
          <w:tcPr>
            <w:tcW w:w="1080" w:type="dxa"/>
            <w:tcBorders>
              <w:top w:val="nil"/>
              <w:left w:val="nil"/>
              <w:bottom w:val="single" w:sz="4" w:space="0" w:color="auto"/>
              <w:right w:val="nil"/>
            </w:tcBorders>
            <w:shd w:val="clear" w:color="auto" w:fill="C0C0C0"/>
          </w:tcPr>
          <w:p w:rsidR="00B73F29" w:rsidRPr="00545A61" w:rsidRDefault="00B73F29" w:rsidP="00391DB4">
            <w:pPr>
              <w:jc w:val="center"/>
              <w:rPr>
                <w:rFonts w:ascii="Arial" w:hAnsi="Arial" w:cs="Arial"/>
                <w:sz w:val="20"/>
                <w:szCs w:val="20"/>
              </w:rPr>
            </w:pPr>
            <w:r w:rsidRPr="00545A61">
              <w:rPr>
                <w:rFonts w:ascii="Arial" w:hAnsi="Arial" w:cs="Arial"/>
                <w:sz w:val="20"/>
                <w:szCs w:val="20"/>
              </w:rPr>
              <w:t>3 - 6 м.</w:t>
            </w:r>
          </w:p>
        </w:tc>
        <w:tc>
          <w:tcPr>
            <w:tcW w:w="935" w:type="dxa"/>
            <w:tcBorders>
              <w:top w:val="nil"/>
              <w:left w:val="single" w:sz="4" w:space="0" w:color="auto"/>
              <w:bottom w:val="single" w:sz="4" w:space="0" w:color="auto"/>
              <w:right w:val="nil"/>
            </w:tcBorders>
            <w:shd w:val="clear" w:color="auto" w:fill="C0C0C0"/>
          </w:tcPr>
          <w:p w:rsidR="00B73F29" w:rsidRPr="00545A61" w:rsidRDefault="00B73F29" w:rsidP="00391DB4">
            <w:pPr>
              <w:jc w:val="center"/>
              <w:rPr>
                <w:rFonts w:ascii="Arial" w:hAnsi="Arial" w:cs="Arial"/>
                <w:sz w:val="20"/>
                <w:szCs w:val="20"/>
              </w:rPr>
            </w:pPr>
            <w:r w:rsidRPr="00545A61">
              <w:rPr>
                <w:rFonts w:ascii="Arial" w:hAnsi="Arial" w:cs="Arial"/>
                <w:sz w:val="20"/>
                <w:szCs w:val="20"/>
              </w:rPr>
              <w:t>над 6 м.</w:t>
            </w:r>
          </w:p>
        </w:tc>
        <w:tc>
          <w:tcPr>
            <w:tcW w:w="117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B73F29" w:rsidRPr="00545A61" w:rsidRDefault="00B73F29" w:rsidP="00391DB4">
            <w:pPr>
              <w:rPr>
                <w:rFonts w:ascii="Arial" w:hAnsi="Arial" w:cs="Arial"/>
                <w:sz w:val="20"/>
                <w:szCs w:val="20"/>
              </w:rPr>
            </w:pPr>
          </w:p>
        </w:tc>
      </w:tr>
      <w:tr w:rsidR="002A0BE2" w:rsidRPr="00545A61" w:rsidTr="00135F12">
        <w:trPr>
          <w:trHeight w:val="277"/>
        </w:trPr>
        <w:tc>
          <w:tcPr>
            <w:tcW w:w="3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0BE2" w:rsidRPr="00545A61" w:rsidRDefault="002A0BE2" w:rsidP="002A0BE2">
            <w:pPr>
              <w:jc w:val="center"/>
              <w:rPr>
                <w:rFonts w:ascii="Arial" w:hAnsi="Arial" w:cs="Arial"/>
                <w:sz w:val="20"/>
                <w:szCs w:val="20"/>
                <w:lang w:eastAsia="bg-BG"/>
              </w:rPr>
            </w:pPr>
            <w:r w:rsidRPr="00545A61">
              <w:rPr>
                <w:rFonts w:ascii="Arial" w:hAnsi="Arial" w:cs="Arial"/>
                <w:sz w:val="20"/>
                <w:szCs w:val="20"/>
              </w:rPr>
              <w:t>1</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2A0BE2" w:rsidRPr="00545A61" w:rsidRDefault="002A0BE2" w:rsidP="002A0BE2">
            <w:pPr>
              <w:rPr>
                <w:rFonts w:ascii="Arial" w:hAnsi="Arial" w:cs="Arial"/>
                <w:sz w:val="20"/>
                <w:szCs w:val="20"/>
                <w:lang w:eastAsia="bg-BG"/>
              </w:rPr>
            </w:pPr>
            <w:r w:rsidRPr="00545A61">
              <w:rPr>
                <w:rFonts w:ascii="Arial" w:hAnsi="Arial" w:cs="Arial"/>
                <w:sz w:val="20"/>
                <w:szCs w:val="20"/>
              </w:rPr>
              <w:t>"Топлофикация - Русе" ЕАД</w:t>
            </w:r>
          </w:p>
        </w:tc>
        <w:tc>
          <w:tcPr>
            <w:tcW w:w="1333" w:type="dxa"/>
            <w:tcBorders>
              <w:top w:val="single" w:sz="4" w:space="0" w:color="auto"/>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125 355</w:t>
            </w:r>
          </w:p>
        </w:tc>
        <w:tc>
          <w:tcPr>
            <w:tcW w:w="1130" w:type="dxa"/>
            <w:tcBorders>
              <w:top w:val="nil"/>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56 540</w:t>
            </w:r>
          </w:p>
        </w:tc>
        <w:tc>
          <w:tcPr>
            <w:tcW w:w="1080" w:type="dxa"/>
            <w:tcBorders>
              <w:top w:val="nil"/>
              <w:left w:val="nil"/>
              <w:bottom w:val="single" w:sz="4" w:space="0" w:color="auto"/>
              <w:right w:val="single" w:sz="4" w:space="0" w:color="auto"/>
            </w:tcBorders>
            <w:shd w:val="clear" w:color="auto" w:fill="auto"/>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56 603</w:t>
            </w:r>
          </w:p>
        </w:tc>
        <w:tc>
          <w:tcPr>
            <w:tcW w:w="935" w:type="dxa"/>
            <w:tcBorders>
              <w:top w:val="single" w:sz="4" w:space="0" w:color="auto"/>
              <w:left w:val="nil"/>
              <w:bottom w:val="single" w:sz="4" w:space="0" w:color="auto"/>
              <w:right w:val="single" w:sz="4" w:space="0" w:color="auto"/>
            </w:tcBorders>
            <w:shd w:val="clear" w:color="auto" w:fill="auto"/>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12 212</w:t>
            </w:r>
          </w:p>
        </w:tc>
        <w:tc>
          <w:tcPr>
            <w:tcW w:w="1175" w:type="dxa"/>
            <w:tcBorders>
              <w:top w:val="single" w:sz="4" w:space="0" w:color="auto"/>
              <w:left w:val="nil"/>
              <w:bottom w:val="single" w:sz="4" w:space="0" w:color="auto"/>
              <w:right w:val="single" w:sz="4" w:space="0" w:color="auto"/>
            </w:tcBorders>
            <w:shd w:val="clear" w:color="auto" w:fill="auto"/>
            <w:vAlign w:val="center"/>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r>
      <w:tr w:rsidR="002A0BE2" w:rsidRPr="00545A61" w:rsidTr="00135F12">
        <w:trPr>
          <w:trHeight w:val="277"/>
        </w:trPr>
        <w:tc>
          <w:tcPr>
            <w:tcW w:w="398" w:type="dxa"/>
            <w:tcBorders>
              <w:top w:val="nil"/>
              <w:left w:val="single" w:sz="4" w:space="0" w:color="auto"/>
              <w:bottom w:val="single" w:sz="4" w:space="0" w:color="auto"/>
              <w:right w:val="single" w:sz="4" w:space="0" w:color="auto"/>
            </w:tcBorders>
            <w:shd w:val="clear" w:color="auto" w:fill="auto"/>
            <w:noWrap/>
            <w:vAlign w:val="bottom"/>
          </w:tcPr>
          <w:p w:rsidR="002A0BE2" w:rsidRPr="00545A61" w:rsidRDefault="002A0BE2" w:rsidP="002A0BE2">
            <w:pPr>
              <w:jc w:val="center"/>
              <w:rPr>
                <w:rFonts w:ascii="Arial" w:hAnsi="Arial" w:cs="Arial"/>
                <w:sz w:val="20"/>
                <w:szCs w:val="20"/>
              </w:rPr>
            </w:pPr>
            <w:r w:rsidRPr="00545A61">
              <w:rPr>
                <w:rFonts w:ascii="Arial" w:hAnsi="Arial" w:cs="Arial"/>
                <w:sz w:val="20"/>
                <w:szCs w:val="20"/>
              </w:rPr>
              <w:t>2</w:t>
            </w:r>
          </w:p>
        </w:tc>
        <w:tc>
          <w:tcPr>
            <w:tcW w:w="3969"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"Рубишипс транспорт" ООД</w:t>
            </w:r>
          </w:p>
        </w:tc>
        <w:tc>
          <w:tcPr>
            <w:tcW w:w="1333" w:type="dxa"/>
            <w:tcBorders>
              <w:top w:val="nil"/>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117 209</w:t>
            </w:r>
          </w:p>
        </w:tc>
        <w:tc>
          <w:tcPr>
            <w:tcW w:w="1130" w:type="dxa"/>
            <w:tcBorders>
              <w:top w:val="nil"/>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117 209</w:t>
            </w:r>
          </w:p>
        </w:tc>
        <w:tc>
          <w:tcPr>
            <w:tcW w:w="1080" w:type="dxa"/>
            <w:tcBorders>
              <w:top w:val="nil"/>
              <w:left w:val="nil"/>
              <w:bottom w:val="single" w:sz="4" w:space="0" w:color="auto"/>
              <w:right w:val="single" w:sz="4" w:space="0" w:color="auto"/>
            </w:tcBorders>
            <w:shd w:val="clear" w:color="auto" w:fill="auto"/>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c>
          <w:tcPr>
            <w:tcW w:w="935"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c>
          <w:tcPr>
            <w:tcW w:w="1175" w:type="dxa"/>
            <w:tcBorders>
              <w:top w:val="nil"/>
              <w:left w:val="nil"/>
              <w:bottom w:val="single" w:sz="4" w:space="0" w:color="auto"/>
              <w:right w:val="single" w:sz="4" w:space="0" w:color="auto"/>
            </w:tcBorders>
            <w:shd w:val="clear" w:color="auto" w:fill="auto"/>
            <w:noWrap/>
            <w:vAlign w:val="center"/>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r>
      <w:tr w:rsidR="002A0BE2" w:rsidRPr="00545A61" w:rsidTr="00135F12">
        <w:trPr>
          <w:trHeight w:val="277"/>
        </w:trPr>
        <w:tc>
          <w:tcPr>
            <w:tcW w:w="398" w:type="dxa"/>
            <w:tcBorders>
              <w:top w:val="nil"/>
              <w:left w:val="single" w:sz="4" w:space="0" w:color="auto"/>
              <w:bottom w:val="single" w:sz="4" w:space="0" w:color="auto"/>
              <w:right w:val="single" w:sz="4" w:space="0" w:color="auto"/>
            </w:tcBorders>
            <w:shd w:val="clear" w:color="auto" w:fill="auto"/>
            <w:noWrap/>
            <w:vAlign w:val="bottom"/>
          </w:tcPr>
          <w:p w:rsidR="002A0BE2" w:rsidRPr="00545A61" w:rsidRDefault="002A0BE2" w:rsidP="002A0BE2">
            <w:pPr>
              <w:jc w:val="center"/>
              <w:rPr>
                <w:rFonts w:ascii="Arial" w:hAnsi="Arial" w:cs="Arial"/>
                <w:sz w:val="20"/>
                <w:szCs w:val="20"/>
              </w:rPr>
            </w:pPr>
            <w:r w:rsidRPr="00545A61">
              <w:rPr>
                <w:rFonts w:ascii="Arial" w:hAnsi="Arial" w:cs="Arial"/>
                <w:sz w:val="20"/>
                <w:szCs w:val="20"/>
              </w:rPr>
              <w:t>3</w:t>
            </w:r>
          </w:p>
        </w:tc>
        <w:tc>
          <w:tcPr>
            <w:tcW w:w="3969"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"Холлеман България" ООД</w:t>
            </w:r>
          </w:p>
        </w:tc>
        <w:tc>
          <w:tcPr>
            <w:tcW w:w="1333" w:type="dxa"/>
            <w:tcBorders>
              <w:top w:val="nil"/>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71 246</w:t>
            </w:r>
          </w:p>
        </w:tc>
        <w:tc>
          <w:tcPr>
            <w:tcW w:w="1130" w:type="dxa"/>
            <w:tcBorders>
              <w:top w:val="nil"/>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71 246</w:t>
            </w:r>
          </w:p>
        </w:tc>
        <w:tc>
          <w:tcPr>
            <w:tcW w:w="1080" w:type="dxa"/>
            <w:tcBorders>
              <w:top w:val="nil"/>
              <w:left w:val="nil"/>
              <w:bottom w:val="single" w:sz="4" w:space="0" w:color="auto"/>
              <w:right w:val="single" w:sz="4" w:space="0" w:color="auto"/>
            </w:tcBorders>
            <w:shd w:val="clear" w:color="auto" w:fill="auto"/>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c>
          <w:tcPr>
            <w:tcW w:w="935"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c>
          <w:tcPr>
            <w:tcW w:w="1175" w:type="dxa"/>
            <w:tcBorders>
              <w:top w:val="nil"/>
              <w:left w:val="nil"/>
              <w:bottom w:val="single" w:sz="4" w:space="0" w:color="auto"/>
              <w:right w:val="single" w:sz="4" w:space="0" w:color="auto"/>
            </w:tcBorders>
            <w:shd w:val="clear" w:color="auto" w:fill="auto"/>
            <w:noWrap/>
            <w:vAlign w:val="center"/>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r>
      <w:tr w:rsidR="002A0BE2" w:rsidRPr="00545A61" w:rsidTr="00135F12">
        <w:trPr>
          <w:trHeight w:val="233"/>
        </w:trPr>
        <w:tc>
          <w:tcPr>
            <w:tcW w:w="398" w:type="dxa"/>
            <w:tcBorders>
              <w:top w:val="nil"/>
              <w:left w:val="single" w:sz="4" w:space="0" w:color="auto"/>
              <w:bottom w:val="single" w:sz="4" w:space="0" w:color="auto"/>
              <w:right w:val="single" w:sz="4" w:space="0" w:color="auto"/>
            </w:tcBorders>
            <w:shd w:val="clear" w:color="auto" w:fill="auto"/>
            <w:noWrap/>
            <w:vAlign w:val="bottom"/>
          </w:tcPr>
          <w:p w:rsidR="002A0BE2" w:rsidRPr="00545A61" w:rsidRDefault="002A0BE2" w:rsidP="002A0BE2">
            <w:pPr>
              <w:jc w:val="center"/>
              <w:rPr>
                <w:rFonts w:ascii="Arial" w:hAnsi="Arial" w:cs="Arial"/>
                <w:sz w:val="20"/>
                <w:szCs w:val="20"/>
              </w:rPr>
            </w:pPr>
            <w:r w:rsidRPr="00545A61">
              <w:rPr>
                <w:rFonts w:ascii="Arial" w:hAnsi="Arial" w:cs="Arial"/>
                <w:sz w:val="20"/>
                <w:szCs w:val="20"/>
              </w:rPr>
              <w:t>4</w:t>
            </w:r>
          </w:p>
        </w:tc>
        <w:tc>
          <w:tcPr>
            <w:tcW w:w="3969"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"Никтранс" ЕООД</w:t>
            </w:r>
          </w:p>
        </w:tc>
        <w:tc>
          <w:tcPr>
            <w:tcW w:w="1333" w:type="dxa"/>
            <w:tcBorders>
              <w:top w:val="nil"/>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26 631</w:t>
            </w:r>
          </w:p>
        </w:tc>
        <w:tc>
          <w:tcPr>
            <w:tcW w:w="1130" w:type="dxa"/>
            <w:tcBorders>
              <w:top w:val="nil"/>
              <w:left w:val="nil"/>
              <w:bottom w:val="single" w:sz="4" w:space="0" w:color="auto"/>
              <w:right w:val="single" w:sz="4" w:space="0" w:color="auto"/>
            </w:tcBorders>
            <w:shd w:val="clear" w:color="auto" w:fill="auto"/>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25 765</w:t>
            </w:r>
          </w:p>
        </w:tc>
        <w:tc>
          <w:tcPr>
            <w:tcW w:w="1080" w:type="dxa"/>
            <w:tcBorders>
              <w:top w:val="nil"/>
              <w:left w:val="nil"/>
              <w:bottom w:val="single" w:sz="4" w:space="0" w:color="auto"/>
              <w:right w:val="single" w:sz="4" w:space="0" w:color="auto"/>
            </w:tcBorders>
            <w:shd w:val="clear" w:color="auto" w:fill="auto"/>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866</w:t>
            </w:r>
          </w:p>
        </w:tc>
        <w:tc>
          <w:tcPr>
            <w:tcW w:w="935"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c>
          <w:tcPr>
            <w:tcW w:w="1175" w:type="dxa"/>
            <w:tcBorders>
              <w:top w:val="nil"/>
              <w:left w:val="nil"/>
              <w:bottom w:val="single" w:sz="4" w:space="0" w:color="auto"/>
              <w:right w:val="single" w:sz="4" w:space="0" w:color="auto"/>
            </w:tcBorders>
            <w:shd w:val="clear" w:color="auto" w:fill="auto"/>
            <w:noWrap/>
            <w:vAlign w:val="center"/>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r>
      <w:tr w:rsidR="002A0BE2" w:rsidRPr="00545A61" w:rsidTr="00135F12">
        <w:trPr>
          <w:trHeight w:val="233"/>
        </w:trPr>
        <w:tc>
          <w:tcPr>
            <w:tcW w:w="398" w:type="dxa"/>
            <w:tcBorders>
              <w:top w:val="nil"/>
              <w:left w:val="single" w:sz="4" w:space="0" w:color="auto"/>
              <w:bottom w:val="single" w:sz="4" w:space="0" w:color="auto"/>
              <w:right w:val="single" w:sz="4" w:space="0" w:color="auto"/>
            </w:tcBorders>
            <w:shd w:val="clear" w:color="auto" w:fill="auto"/>
            <w:noWrap/>
            <w:vAlign w:val="bottom"/>
          </w:tcPr>
          <w:p w:rsidR="002A0BE2" w:rsidRPr="00545A61" w:rsidRDefault="002A0BE2" w:rsidP="002A0BE2">
            <w:pPr>
              <w:jc w:val="center"/>
              <w:rPr>
                <w:rFonts w:ascii="Arial" w:hAnsi="Arial" w:cs="Arial"/>
                <w:sz w:val="20"/>
                <w:szCs w:val="20"/>
              </w:rPr>
            </w:pPr>
            <w:r w:rsidRPr="00545A61">
              <w:rPr>
                <w:rFonts w:ascii="Arial" w:hAnsi="Arial" w:cs="Arial"/>
                <w:sz w:val="20"/>
                <w:szCs w:val="20"/>
              </w:rPr>
              <w:t>5</w:t>
            </w:r>
          </w:p>
        </w:tc>
        <w:tc>
          <w:tcPr>
            <w:tcW w:w="3969"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"Л.Стоянов-АВТОМАН" ЕООД</w:t>
            </w:r>
          </w:p>
        </w:tc>
        <w:tc>
          <w:tcPr>
            <w:tcW w:w="1333" w:type="dxa"/>
            <w:tcBorders>
              <w:top w:val="nil"/>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25 581</w:t>
            </w:r>
          </w:p>
        </w:tc>
        <w:tc>
          <w:tcPr>
            <w:tcW w:w="1130" w:type="dxa"/>
            <w:tcBorders>
              <w:top w:val="nil"/>
              <w:left w:val="nil"/>
              <w:bottom w:val="single" w:sz="4" w:space="0" w:color="auto"/>
              <w:right w:val="single" w:sz="4" w:space="0" w:color="auto"/>
            </w:tcBorders>
            <w:shd w:val="clear" w:color="auto" w:fill="auto"/>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25 581</w:t>
            </w:r>
          </w:p>
        </w:tc>
        <w:tc>
          <w:tcPr>
            <w:tcW w:w="1080" w:type="dxa"/>
            <w:tcBorders>
              <w:top w:val="nil"/>
              <w:left w:val="nil"/>
              <w:bottom w:val="single" w:sz="4" w:space="0" w:color="auto"/>
              <w:right w:val="single" w:sz="4" w:space="0" w:color="auto"/>
            </w:tcBorders>
            <w:shd w:val="clear" w:color="auto" w:fill="auto"/>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c>
          <w:tcPr>
            <w:tcW w:w="935"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c>
          <w:tcPr>
            <w:tcW w:w="1175" w:type="dxa"/>
            <w:tcBorders>
              <w:top w:val="nil"/>
              <w:left w:val="nil"/>
              <w:bottom w:val="single" w:sz="4" w:space="0" w:color="auto"/>
              <w:right w:val="single" w:sz="4" w:space="0" w:color="auto"/>
            </w:tcBorders>
            <w:shd w:val="clear" w:color="auto" w:fill="auto"/>
            <w:noWrap/>
            <w:vAlign w:val="center"/>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r>
      <w:tr w:rsidR="002A0BE2" w:rsidRPr="00545A61" w:rsidTr="00135F12">
        <w:trPr>
          <w:trHeight w:val="233"/>
        </w:trPr>
        <w:tc>
          <w:tcPr>
            <w:tcW w:w="398" w:type="dxa"/>
            <w:tcBorders>
              <w:top w:val="nil"/>
              <w:left w:val="single" w:sz="4" w:space="0" w:color="auto"/>
              <w:bottom w:val="single" w:sz="4" w:space="0" w:color="auto"/>
              <w:right w:val="single" w:sz="4" w:space="0" w:color="auto"/>
            </w:tcBorders>
            <w:shd w:val="clear" w:color="auto" w:fill="auto"/>
            <w:noWrap/>
            <w:vAlign w:val="bottom"/>
          </w:tcPr>
          <w:p w:rsidR="002A0BE2" w:rsidRPr="00545A61" w:rsidRDefault="002A0BE2" w:rsidP="002A0BE2">
            <w:pPr>
              <w:jc w:val="center"/>
              <w:rPr>
                <w:rFonts w:ascii="Arial" w:hAnsi="Arial" w:cs="Arial"/>
                <w:sz w:val="20"/>
                <w:szCs w:val="20"/>
              </w:rPr>
            </w:pPr>
            <w:r w:rsidRPr="00545A61">
              <w:rPr>
                <w:rFonts w:ascii="Arial" w:hAnsi="Arial" w:cs="Arial"/>
                <w:sz w:val="20"/>
                <w:szCs w:val="20"/>
              </w:rPr>
              <w:t>6</w:t>
            </w:r>
          </w:p>
        </w:tc>
        <w:tc>
          <w:tcPr>
            <w:tcW w:w="3969"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"Интерком спед" ООД</w:t>
            </w:r>
          </w:p>
        </w:tc>
        <w:tc>
          <w:tcPr>
            <w:tcW w:w="1333" w:type="dxa"/>
            <w:tcBorders>
              <w:top w:val="nil"/>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25 426</w:t>
            </w:r>
          </w:p>
        </w:tc>
        <w:tc>
          <w:tcPr>
            <w:tcW w:w="1130" w:type="dxa"/>
            <w:tcBorders>
              <w:top w:val="nil"/>
              <w:left w:val="nil"/>
              <w:bottom w:val="single" w:sz="4" w:space="0" w:color="auto"/>
              <w:right w:val="single" w:sz="4" w:space="0" w:color="auto"/>
            </w:tcBorders>
            <w:shd w:val="clear" w:color="auto" w:fill="auto"/>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25 426</w:t>
            </w:r>
          </w:p>
        </w:tc>
        <w:tc>
          <w:tcPr>
            <w:tcW w:w="1080" w:type="dxa"/>
            <w:tcBorders>
              <w:top w:val="nil"/>
              <w:left w:val="nil"/>
              <w:bottom w:val="single" w:sz="4" w:space="0" w:color="auto"/>
              <w:right w:val="single" w:sz="4" w:space="0" w:color="auto"/>
            </w:tcBorders>
            <w:shd w:val="clear" w:color="auto" w:fill="auto"/>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c>
          <w:tcPr>
            <w:tcW w:w="935"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c>
          <w:tcPr>
            <w:tcW w:w="1175" w:type="dxa"/>
            <w:tcBorders>
              <w:top w:val="nil"/>
              <w:left w:val="nil"/>
              <w:bottom w:val="single" w:sz="4" w:space="0" w:color="auto"/>
              <w:right w:val="single" w:sz="4" w:space="0" w:color="auto"/>
            </w:tcBorders>
            <w:shd w:val="clear" w:color="auto" w:fill="auto"/>
            <w:noWrap/>
            <w:vAlign w:val="center"/>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r>
      <w:tr w:rsidR="002A0BE2" w:rsidRPr="00545A61" w:rsidTr="00135F12">
        <w:trPr>
          <w:trHeight w:val="233"/>
        </w:trPr>
        <w:tc>
          <w:tcPr>
            <w:tcW w:w="398" w:type="dxa"/>
            <w:tcBorders>
              <w:top w:val="nil"/>
              <w:left w:val="single" w:sz="4" w:space="0" w:color="auto"/>
              <w:bottom w:val="single" w:sz="4" w:space="0" w:color="auto"/>
              <w:right w:val="single" w:sz="4" w:space="0" w:color="auto"/>
            </w:tcBorders>
            <w:shd w:val="clear" w:color="auto" w:fill="auto"/>
            <w:noWrap/>
            <w:vAlign w:val="bottom"/>
          </w:tcPr>
          <w:p w:rsidR="002A0BE2" w:rsidRPr="00545A61" w:rsidRDefault="002A0BE2" w:rsidP="002A0BE2">
            <w:pPr>
              <w:jc w:val="center"/>
              <w:rPr>
                <w:rFonts w:ascii="Arial" w:hAnsi="Arial" w:cs="Arial"/>
                <w:sz w:val="20"/>
                <w:szCs w:val="20"/>
              </w:rPr>
            </w:pPr>
            <w:r w:rsidRPr="00545A61">
              <w:rPr>
                <w:rFonts w:ascii="Arial" w:hAnsi="Arial" w:cs="Arial"/>
                <w:sz w:val="20"/>
                <w:szCs w:val="20"/>
              </w:rPr>
              <w:t>7</w:t>
            </w:r>
          </w:p>
        </w:tc>
        <w:tc>
          <w:tcPr>
            <w:tcW w:w="3969"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"Галакси Пауър" ЕООД</w:t>
            </w:r>
          </w:p>
        </w:tc>
        <w:tc>
          <w:tcPr>
            <w:tcW w:w="1333" w:type="dxa"/>
            <w:tcBorders>
              <w:top w:val="nil"/>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21 351</w:t>
            </w:r>
          </w:p>
        </w:tc>
        <w:tc>
          <w:tcPr>
            <w:tcW w:w="1130" w:type="dxa"/>
            <w:tcBorders>
              <w:top w:val="nil"/>
              <w:left w:val="nil"/>
              <w:bottom w:val="single" w:sz="4" w:space="0" w:color="auto"/>
              <w:right w:val="single" w:sz="4" w:space="0" w:color="auto"/>
            </w:tcBorders>
            <w:shd w:val="clear" w:color="auto" w:fill="auto"/>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19 325</w:t>
            </w:r>
          </w:p>
        </w:tc>
        <w:tc>
          <w:tcPr>
            <w:tcW w:w="1080" w:type="dxa"/>
            <w:tcBorders>
              <w:top w:val="nil"/>
              <w:left w:val="nil"/>
              <w:bottom w:val="single" w:sz="4" w:space="0" w:color="auto"/>
              <w:right w:val="single" w:sz="4" w:space="0" w:color="auto"/>
            </w:tcBorders>
            <w:shd w:val="clear" w:color="auto" w:fill="auto"/>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2 026</w:t>
            </w:r>
          </w:p>
        </w:tc>
        <w:tc>
          <w:tcPr>
            <w:tcW w:w="935"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c>
          <w:tcPr>
            <w:tcW w:w="1175" w:type="dxa"/>
            <w:tcBorders>
              <w:top w:val="nil"/>
              <w:left w:val="nil"/>
              <w:bottom w:val="single" w:sz="4" w:space="0" w:color="auto"/>
              <w:right w:val="single" w:sz="4" w:space="0" w:color="auto"/>
            </w:tcBorders>
            <w:shd w:val="clear" w:color="auto" w:fill="auto"/>
            <w:noWrap/>
            <w:vAlign w:val="center"/>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r>
      <w:tr w:rsidR="002A0BE2" w:rsidRPr="00545A61" w:rsidTr="00135F12">
        <w:trPr>
          <w:trHeight w:val="233"/>
        </w:trPr>
        <w:tc>
          <w:tcPr>
            <w:tcW w:w="398" w:type="dxa"/>
            <w:tcBorders>
              <w:top w:val="nil"/>
              <w:left w:val="single" w:sz="4" w:space="0" w:color="auto"/>
              <w:bottom w:val="single" w:sz="4" w:space="0" w:color="auto"/>
              <w:right w:val="single" w:sz="4" w:space="0" w:color="auto"/>
            </w:tcBorders>
            <w:shd w:val="clear" w:color="auto" w:fill="auto"/>
            <w:noWrap/>
            <w:vAlign w:val="bottom"/>
          </w:tcPr>
          <w:p w:rsidR="002A0BE2" w:rsidRPr="00545A61" w:rsidRDefault="002A0BE2" w:rsidP="002A0BE2">
            <w:pPr>
              <w:jc w:val="center"/>
              <w:rPr>
                <w:rFonts w:ascii="Arial" w:hAnsi="Arial" w:cs="Arial"/>
                <w:sz w:val="20"/>
                <w:szCs w:val="20"/>
              </w:rPr>
            </w:pPr>
            <w:r w:rsidRPr="00545A61">
              <w:rPr>
                <w:rFonts w:ascii="Arial" w:hAnsi="Arial" w:cs="Arial"/>
                <w:sz w:val="20"/>
                <w:szCs w:val="20"/>
              </w:rPr>
              <w:t>8</w:t>
            </w:r>
          </w:p>
        </w:tc>
        <w:tc>
          <w:tcPr>
            <w:tcW w:w="3969"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"Енерджи Маркет" АД</w:t>
            </w:r>
          </w:p>
        </w:tc>
        <w:tc>
          <w:tcPr>
            <w:tcW w:w="1333" w:type="dxa"/>
            <w:tcBorders>
              <w:top w:val="nil"/>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21 025</w:t>
            </w:r>
          </w:p>
        </w:tc>
        <w:tc>
          <w:tcPr>
            <w:tcW w:w="1130" w:type="dxa"/>
            <w:tcBorders>
              <w:top w:val="nil"/>
              <w:left w:val="nil"/>
              <w:bottom w:val="single" w:sz="4" w:space="0" w:color="auto"/>
              <w:right w:val="single" w:sz="4" w:space="0" w:color="auto"/>
            </w:tcBorders>
            <w:shd w:val="clear" w:color="auto" w:fill="auto"/>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10 349</w:t>
            </w:r>
          </w:p>
        </w:tc>
        <w:tc>
          <w:tcPr>
            <w:tcW w:w="1080" w:type="dxa"/>
            <w:tcBorders>
              <w:top w:val="nil"/>
              <w:left w:val="nil"/>
              <w:bottom w:val="single" w:sz="4" w:space="0" w:color="auto"/>
              <w:right w:val="single" w:sz="4" w:space="0" w:color="auto"/>
            </w:tcBorders>
            <w:shd w:val="clear" w:color="auto" w:fill="auto"/>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10 676</w:t>
            </w:r>
          </w:p>
        </w:tc>
        <w:tc>
          <w:tcPr>
            <w:tcW w:w="935"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c>
          <w:tcPr>
            <w:tcW w:w="1175" w:type="dxa"/>
            <w:tcBorders>
              <w:top w:val="nil"/>
              <w:left w:val="nil"/>
              <w:bottom w:val="single" w:sz="4" w:space="0" w:color="auto"/>
              <w:right w:val="single" w:sz="4" w:space="0" w:color="auto"/>
            </w:tcBorders>
            <w:shd w:val="clear" w:color="auto" w:fill="auto"/>
            <w:noWrap/>
            <w:vAlign w:val="center"/>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r>
      <w:tr w:rsidR="002A0BE2" w:rsidRPr="00545A61" w:rsidTr="00135F12">
        <w:trPr>
          <w:trHeight w:val="233"/>
        </w:trPr>
        <w:tc>
          <w:tcPr>
            <w:tcW w:w="398" w:type="dxa"/>
            <w:tcBorders>
              <w:top w:val="nil"/>
              <w:left w:val="single" w:sz="4" w:space="0" w:color="auto"/>
              <w:bottom w:val="single" w:sz="4" w:space="0" w:color="auto"/>
              <w:right w:val="single" w:sz="4" w:space="0" w:color="auto"/>
            </w:tcBorders>
            <w:shd w:val="clear" w:color="auto" w:fill="auto"/>
            <w:noWrap/>
            <w:vAlign w:val="bottom"/>
          </w:tcPr>
          <w:p w:rsidR="002A0BE2" w:rsidRPr="00545A61" w:rsidRDefault="002A0BE2" w:rsidP="002A0BE2">
            <w:pPr>
              <w:jc w:val="center"/>
              <w:rPr>
                <w:rFonts w:ascii="Arial" w:hAnsi="Arial" w:cs="Arial"/>
                <w:sz w:val="20"/>
                <w:szCs w:val="20"/>
              </w:rPr>
            </w:pPr>
            <w:r w:rsidRPr="00545A61">
              <w:rPr>
                <w:rFonts w:ascii="Arial" w:hAnsi="Arial" w:cs="Arial"/>
                <w:sz w:val="20"/>
                <w:szCs w:val="20"/>
              </w:rPr>
              <w:t>9</w:t>
            </w:r>
          </w:p>
        </w:tc>
        <w:tc>
          <w:tcPr>
            <w:tcW w:w="3969"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"Дунав Сървисиз БГ" ЕООД</w:t>
            </w:r>
          </w:p>
        </w:tc>
        <w:tc>
          <w:tcPr>
            <w:tcW w:w="1333" w:type="dxa"/>
            <w:tcBorders>
              <w:top w:val="nil"/>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19 539</w:t>
            </w:r>
          </w:p>
        </w:tc>
        <w:tc>
          <w:tcPr>
            <w:tcW w:w="1130" w:type="dxa"/>
            <w:tcBorders>
              <w:top w:val="nil"/>
              <w:left w:val="nil"/>
              <w:bottom w:val="single" w:sz="4" w:space="0" w:color="auto"/>
              <w:right w:val="single" w:sz="4" w:space="0" w:color="auto"/>
            </w:tcBorders>
            <w:shd w:val="clear" w:color="auto" w:fill="auto"/>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835</w:t>
            </w:r>
          </w:p>
        </w:tc>
        <w:tc>
          <w:tcPr>
            <w:tcW w:w="935" w:type="dxa"/>
            <w:tcBorders>
              <w:top w:val="nil"/>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18 704</w:t>
            </w:r>
          </w:p>
        </w:tc>
        <w:tc>
          <w:tcPr>
            <w:tcW w:w="1175" w:type="dxa"/>
            <w:tcBorders>
              <w:top w:val="nil"/>
              <w:left w:val="nil"/>
              <w:bottom w:val="single" w:sz="4" w:space="0" w:color="auto"/>
              <w:right w:val="single" w:sz="4" w:space="0" w:color="auto"/>
            </w:tcBorders>
            <w:shd w:val="clear" w:color="auto" w:fill="auto"/>
            <w:noWrap/>
            <w:vAlign w:val="center"/>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r>
      <w:tr w:rsidR="002A0BE2" w:rsidRPr="00545A61" w:rsidTr="00135F12">
        <w:trPr>
          <w:trHeight w:val="233"/>
        </w:trPr>
        <w:tc>
          <w:tcPr>
            <w:tcW w:w="398" w:type="dxa"/>
            <w:tcBorders>
              <w:top w:val="nil"/>
              <w:left w:val="single" w:sz="4" w:space="0" w:color="auto"/>
              <w:bottom w:val="single" w:sz="4" w:space="0" w:color="auto"/>
              <w:right w:val="single" w:sz="4" w:space="0" w:color="auto"/>
            </w:tcBorders>
            <w:shd w:val="clear" w:color="auto" w:fill="auto"/>
            <w:noWrap/>
            <w:vAlign w:val="bottom"/>
          </w:tcPr>
          <w:p w:rsidR="002A0BE2" w:rsidRPr="00545A61" w:rsidRDefault="002A0BE2" w:rsidP="002A0BE2">
            <w:pPr>
              <w:jc w:val="center"/>
              <w:rPr>
                <w:rFonts w:ascii="Arial" w:hAnsi="Arial" w:cs="Arial"/>
                <w:sz w:val="20"/>
                <w:szCs w:val="20"/>
              </w:rPr>
            </w:pPr>
            <w:r w:rsidRPr="00545A61">
              <w:rPr>
                <w:rFonts w:ascii="Arial" w:hAnsi="Arial" w:cs="Arial"/>
                <w:sz w:val="20"/>
                <w:szCs w:val="20"/>
              </w:rPr>
              <w:t>10</w:t>
            </w:r>
          </w:p>
        </w:tc>
        <w:tc>
          <w:tcPr>
            <w:tcW w:w="3969"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"Л.Стоянов-АВТОМАН" ЕТ</w:t>
            </w:r>
          </w:p>
        </w:tc>
        <w:tc>
          <w:tcPr>
            <w:tcW w:w="1333" w:type="dxa"/>
            <w:tcBorders>
              <w:top w:val="nil"/>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13 691</w:t>
            </w:r>
          </w:p>
        </w:tc>
        <w:tc>
          <w:tcPr>
            <w:tcW w:w="1130" w:type="dxa"/>
            <w:tcBorders>
              <w:top w:val="nil"/>
              <w:left w:val="nil"/>
              <w:bottom w:val="single" w:sz="4" w:space="0" w:color="auto"/>
              <w:right w:val="single" w:sz="4" w:space="0" w:color="auto"/>
            </w:tcBorders>
            <w:shd w:val="clear" w:color="auto" w:fill="auto"/>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8 432</w:t>
            </w:r>
          </w:p>
        </w:tc>
        <w:tc>
          <w:tcPr>
            <w:tcW w:w="1080" w:type="dxa"/>
            <w:tcBorders>
              <w:top w:val="nil"/>
              <w:left w:val="nil"/>
              <w:bottom w:val="single" w:sz="4" w:space="0" w:color="auto"/>
              <w:right w:val="single" w:sz="4" w:space="0" w:color="auto"/>
            </w:tcBorders>
            <w:shd w:val="clear" w:color="auto" w:fill="auto"/>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5 259</w:t>
            </w:r>
          </w:p>
        </w:tc>
        <w:tc>
          <w:tcPr>
            <w:tcW w:w="935"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c>
          <w:tcPr>
            <w:tcW w:w="1175" w:type="dxa"/>
            <w:tcBorders>
              <w:top w:val="nil"/>
              <w:left w:val="nil"/>
              <w:bottom w:val="single" w:sz="4" w:space="0" w:color="auto"/>
              <w:right w:val="single" w:sz="4" w:space="0" w:color="auto"/>
            </w:tcBorders>
            <w:shd w:val="clear" w:color="auto" w:fill="auto"/>
            <w:noWrap/>
            <w:vAlign w:val="center"/>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r>
      <w:tr w:rsidR="002A0BE2" w:rsidRPr="00545A61" w:rsidTr="00135F12">
        <w:trPr>
          <w:trHeight w:val="233"/>
        </w:trPr>
        <w:tc>
          <w:tcPr>
            <w:tcW w:w="398" w:type="dxa"/>
            <w:tcBorders>
              <w:top w:val="nil"/>
              <w:left w:val="single" w:sz="4" w:space="0" w:color="auto"/>
              <w:bottom w:val="single" w:sz="4" w:space="0" w:color="auto"/>
              <w:right w:val="single" w:sz="4" w:space="0" w:color="auto"/>
            </w:tcBorders>
            <w:shd w:val="clear" w:color="auto" w:fill="auto"/>
            <w:noWrap/>
            <w:vAlign w:val="bottom"/>
          </w:tcPr>
          <w:p w:rsidR="002A0BE2" w:rsidRPr="00545A61" w:rsidRDefault="002A0BE2" w:rsidP="002A0BE2">
            <w:pPr>
              <w:jc w:val="center"/>
              <w:rPr>
                <w:rFonts w:ascii="Arial" w:hAnsi="Arial" w:cs="Arial"/>
                <w:sz w:val="20"/>
                <w:szCs w:val="20"/>
              </w:rPr>
            </w:pPr>
            <w:r w:rsidRPr="00545A61">
              <w:rPr>
                <w:rFonts w:ascii="Arial" w:hAnsi="Arial" w:cs="Arial"/>
                <w:sz w:val="20"/>
                <w:szCs w:val="20"/>
              </w:rPr>
              <w:t>11</w:t>
            </w:r>
          </w:p>
        </w:tc>
        <w:tc>
          <w:tcPr>
            <w:tcW w:w="3969"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"Каолин" ЕАД</w:t>
            </w:r>
          </w:p>
        </w:tc>
        <w:tc>
          <w:tcPr>
            <w:tcW w:w="1333" w:type="dxa"/>
            <w:tcBorders>
              <w:top w:val="nil"/>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12 817</w:t>
            </w:r>
          </w:p>
        </w:tc>
        <w:tc>
          <w:tcPr>
            <w:tcW w:w="1130" w:type="dxa"/>
            <w:tcBorders>
              <w:top w:val="nil"/>
              <w:left w:val="nil"/>
              <w:bottom w:val="single" w:sz="4" w:space="0" w:color="auto"/>
              <w:right w:val="single" w:sz="4" w:space="0" w:color="auto"/>
            </w:tcBorders>
            <w:shd w:val="clear" w:color="auto" w:fill="auto"/>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12 817</w:t>
            </w:r>
          </w:p>
        </w:tc>
        <w:tc>
          <w:tcPr>
            <w:tcW w:w="1080" w:type="dxa"/>
            <w:tcBorders>
              <w:top w:val="nil"/>
              <w:left w:val="nil"/>
              <w:bottom w:val="single" w:sz="4" w:space="0" w:color="auto"/>
              <w:right w:val="single" w:sz="4" w:space="0" w:color="auto"/>
            </w:tcBorders>
            <w:shd w:val="clear" w:color="auto" w:fill="auto"/>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c>
          <w:tcPr>
            <w:tcW w:w="935"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c>
          <w:tcPr>
            <w:tcW w:w="1175" w:type="dxa"/>
            <w:tcBorders>
              <w:top w:val="nil"/>
              <w:left w:val="nil"/>
              <w:bottom w:val="single" w:sz="4" w:space="0" w:color="auto"/>
              <w:right w:val="single" w:sz="4" w:space="0" w:color="auto"/>
            </w:tcBorders>
            <w:shd w:val="clear" w:color="auto" w:fill="auto"/>
            <w:noWrap/>
            <w:vAlign w:val="center"/>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r>
      <w:tr w:rsidR="002A0BE2" w:rsidRPr="00545A61" w:rsidTr="00135F12">
        <w:trPr>
          <w:trHeight w:val="233"/>
        </w:trPr>
        <w:tc>
          <w:tcPr>
            <w:tcW w:w="398" w:type="dxa"/>
            <w:tcBorders>
              <w:top w:val="nil"/>
              <w:left w:val="single" w:sz="4" w:space="0" w:color="auto"/>
              <w:bottom w:val="single" w:sz="4" w:space="0" w:color="auto"/>
              <w:right w:val="single" w:sz="4" w:space="0" w:color="auto"/>
            </w:tcBorders>
            <w:shd w:val="clear" w:color="auto" w:fill="auto"/>
            <w:noWrap/>
            <w:vAlign w:val="bottom"/>
          </w:tcPr>
          <w:p w:rsidR="002A0BE2" w:rsidRPr="00545A61" w:rsidRDefault="002A0BE2" w:rsidP="002A0BE2">
            <w:pPr>
              <w:jc w:val="center"/>
              <w:rPr>
                <w:rFonts w:ascii="Arial" w:hAnsi="Arial" w:cs="Arial"/>
                <w:sz w:val="20"/>
                <w:szCs w:val="20"/>
              </w:rPr>
            </w:pPr>
            <w:r w:rsidRPr="00545A61">
              <w:rPr>
                <w:rFonts w:ascii="Arial" w:hAnsi="Arial" w:cs="Arial"/>
                <w:sz w:val="20"/>
                <w:szCs w:val="20"/>
              </w:rPr>
              <w:t>12</w:t>
            </w:r>
          </w:p>
        </w:tc>
        <w:tc>
          <w:tcPr>
            <w:tcW w:w="3969"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"Стийлимпекс" ООД</w:t>
            </w:r>
          </w:p>
        </w:tc>
        <w:tc>
          <w:tcPr>
            <w:tcW w:w="1333" w:type="dxa"/>
            <w:tcBorders>
              <w:top w:val="nil"/>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12 816</w:t>
            </w:r>
          </w:p>
        </w:tc>
        <w:tc>
          <w:tcPr>
            <w:tcW w:w="1130" w:type="dxa"/>
            <w:tcBorders>
              <w:top w:val="nil"/>
              <w:left w:val="nil"/>
              <w:bottom w:val="single" w:sz="4" w:space="0" w:color="auto"/>
              <w:right w:val="single" w:sz="4" w:space="0" w:color="auto"/>
            </w:tcBorders>
            <w:shd w:val="clear" w:color="auto" w:fill="auto"/>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11 954</w:t>
            </w:r>
          </w:p>
        </w:tc>
        <w:tc>
          <w:tcPr>
            <w:tcW w:w="1080" w:type="dxa"/>
            <w:tcBorders>
              <w:top w:val="nil"/>
              <w:left w:val="nil"/>
              <w:bottom w:val="single" w:sz="4" w:space="0" w:color="auto"/>
              <w:right w:val="single" w:sz="4" w:space="0" w:color="auto"/>
            </w:tcBorders>
            <w:shd w:val="clear" w:color="auto" w:fill="auto"/>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862</w:t>
            </w:r>
          </w:p>
        </w:tc>
        <w:tc>
          <w:tcPr>
            <w:tcW w:w="935"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c>
          <w:tcPr>
            <w:tcW w:w="1175" w:type="dxa"/>
            <w:tcBorders>
              <w:top w:val="nil"/>
              <w:left w:val="nil"/>
              <w:bottom w:val="single" w:sz="4" w:space="0" w:color="auto"/>
              <w:right w:val="single" w:sz="4" w:space="0" w:color="auto"/>
            </w:tcBorders>
            <w:shd w:val="clear" w:color="auto" w:fill="auto"/>
            <w:noWrap/>
            <w:vAlign w:val="center"/>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r>
      <w:tr w:rsidR="002A0BE2" w:rsidRPr="00545A61" w:rsidTr="00135F12">
        <w:trPr>
          <w:trHeight w:val="233"/>
        </w:trPr>
        <w:tc>
          <w:tcPr>
            <w:tcW w:w="398" w:type="dxa"/>
            <w:tcBorders>
              <w:top w:val="nil"/>
              <w:left w:val="single" w:sz="4" w:space="0" w:color="auto"/>
              <w:bottom w:val="single" w:sz="4" w:space="0" w:color="auto"/>
              <w:right w:val="single" w:sz="4" w:space="0" w:color="auto"/>
            </w:tcBorders>
            <w:shd w:val="clear" w:color="auto" w:fill="auto"/>
            <w:noWrap/>
            <w:vAlign w:val="bottom"/>
          </w:tcPr>
          <w:p w:rsidR="002A0BE2" w:rsidRPr="00545A61" w:rsidRDefault="002A0BE2" w:rsidP="002A0BE2">
            <w:pPr>
              <w:jc w:val="center"/>
              <w:rPr>
                <w:rFonts w:ascii="Arial" w:hAnsi="Arial" w:cs="Arial"/>
                <w:sz w:val="20"/>
                <w:szCs w:val="20"/>
              </w:rPr>
            </w:pPr>
            <w:r w:rsidRPr="00545A61">
              <w:rPr>
                <w:rFonts w:ascii="Arial" w:hAnsi="Arial" w:cs="Arial"/>
                <w:sz w:val="20"/>
                <w:szCs w:val="20"/>
              </w:rPr>
              <w:t>13</w:t>
            </w:r>
          </w:p>
        </w:tc>
        <w:tc>
          <w:tcPr>
            <w:tcW w:w="3969"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"КЦМ"АД</w:t>
            </w:r>
          </w:p>
        </w:tc>
        <w:tc>
          <w:tcPr>
            <w:tcW w:w="1333" w:type="dxa"/>
            <w:tcBorders>
              <w:top w:val="nil"/>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12 803</w:t>
            </w:r>
          </w:p>
        </w:tc>
        <w:tc>
          <w:tcPr>
            <w:tcW w:w="1130" w:type="dxa"/>
            <w:tcBorders>
              <w:top w:val="nil"/>
              <w:left w:val="nil"/>
              <w:bottom w:val="single" w:sz="4" w:space="0" w:color="auto"/>
              <w:right w:val="single" w:sz="4" w:space="0" w:color="auto"/>
            </w:tcBorders>
            <w:shd w:val="clear" w:color="auto" w:fill="auto"/>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12 803</w:t>
            </w:r>
          </w:p>
        </w:tc>
        <w:tc>
          <w:tcPr>
            <w:tcW w:w="1080" w:type="dxa"/>
            <w:tcBorders>
              <w:top w:val="nil"/>
              <w:left w:val="nil"/>
              <w:bottom w:val="single" w:sz="4" w:space="0" w:color="auto"/>
              <w:right w:val="single" w:sz="4" w:space="0" w:color="auto"/>
            </w:tcBorders>
            <w:shd w:val="clear" w:color="auto" w:fill="auto"/>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c>
          <w:tcPr>
            <w:tcW w:w="935"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c>
          <w:tcPr>
            <w:tcW w:w="1175" w:type="dxa"/>
            <w:tcBorders>
              <w:top w:val="nil"/>
              <w:left w:val="nil"/>
              <w:bottom w:val="single" w:sz="4" w:space="0" w:color="auto"/>
              <w:right w:val="single" w:sz="4" w:space="0" w:color="auto"/>
            </w:tcBorders>
            <w:shd w:val="clear" w:color="auto" w:fill="auto"/>
            <w:noWrap/>
            <w:vAlign w:val="center"/>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r>
      <w:tr w:rsidR="002A0BE2" w:rsidRPr="00545A61" w:rsidTr="00135F12">
        <w:trPr>
          <w:trHeight w:val="233"/>
        </w:trPr>
        <w:tc>
          <w:tcPr>
            <w:tcW w:w="398" w:type="dxa"/>
            <w:tcBorders>
              <w:top w:val="nil"/>
              <w:left w:val="single" w:sz="4" w:space="0" w:color="auto"/>
              <w:bottom w:val="single" w:sz="4" w:space="0" w:color="auto"/>
              <w:right w:val="single" w:sz="4" w:space="0" w:color="auto"/>
            </w:tcBorders>
            <w:shd w:val="clear" w:color="auto" w:fill="auto"/>
            <w:noWrap/>
            <w:vAlign w:val="bottom"/>
          </w:tcPr>
          <w:p w:rsidR="002A0BE2" w:rsidRPr="00545A61" w:rsidRDefault="002A0BE2" w:rsidP="002A0BE2">
            <w:pPr>
              <w:jc w:val="center"/>
              <w:rPr>
                <w:rFonts w:ascii="Arial" w:hAnsi="Arial" w:cs="Arial"/>
                <w:sz w:val="20"/>
                <w:szCs w:val="20"/>
              </w:rPr>
            </w:pPr>
            <w:r w:rsidRPr="00545A61">
              <w:rPr>
                <w:rFonts w:ascii="Arial" w:hAnsi="Arial" w:cs="Arial"/>
                <w:sz w:val="20"/>
                <w:szCs w:val="20"/>
              </w:rPr>
              <w:t>14</w:t>
            </w:r>
          </w:p>
        </w:tc>
        <w:tc>
          <w:tcPr>
            <w:tcW w:w="3969"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"Рубикон Шипинг"ООД</w:t>
            </w:r>
          </w:p>
        </w:tc>
        <w:tc>
          <w:tcPr>
            <w:tcW w:w="1333" w:type="dxa"/>
            <w:tcBorders>
              <w:top w:val="nil"/>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12 113</w:t>
            </w:r>
          </w:p>
        </w:tc>
        <w:tc>
          <w:tcPr>
            <w:tcW w:w="1130" w:type="dxa"/>
            <w:tcBorders>
              <w:top w:val="nil"/>
              <w:left w:val="nil"/>
              <w:bottom w:val="single" w:sz="4" w:space="0" w:color="auto"/>
              <w:right w:val="single" w:sz="4" w:space="0" w:color="auto"/>
            </w:tcBorders>
            <w:shd w:val="clear" w:color="auto" w:fill="auto"/>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12 113</w:t>
            </w:r>
          </w:p>
        </w:tc>
        <w:tc>
          <w:tcPr>
            <w:tcW w:w="1080" w:type="dxa"/>
            <w:tcBorders>
              <w:top w:val="nil"/>
              <w:left w:val="nil"/>
              <w:bottom w:val="single" w:sz="4" w:space="0" w:color="auto"/>
              <w:right w:val="single" w:sz="4" w:space="0" w:color="auto"/>
            </w:tcBorders>
            <w:shd w:val="clear" w:color="auto" w:fill="auto"/>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c>
          <w:tcPr>
            <w:tcW w:w="935"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c>
          <w:tcPr>
            <w:tcW w:w="1175" w:type="dxa"/>
            <w:tcBorders>
              <w:top w:val="nil"/>
              <w:left w:val="nil"/>
              <w:bottom w:val="single" w:sz="4" w:space="0" w:color="auto"/>
              <w:right w:val="single" w:sz="4" w:space="0" w:color="auto"/>
            </w:tcBorders>
            <w:shd w:val="clear" w:color="auto" w:fill="auto"/>
            <w:noWrap/>
            <w:vAlign w:val="center"/>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r>
      <w:tr w:rsidR="002A0BE2" w:rsidRPr="00545A61" w:rsidTr="00135F12">
        <w:trPr>
          <w:trHeight w:val="233"/>
        </w:trPr>
        <w:tc>
          <w:tcPr>
            <w:tcW w:w="398" w:type="dxa"/>
            <w:tcBorders>
              <w:top w:val="nil"/>
              <w:left w:val="single" w:sz="4" w:space="0" w:color="auto"/>
              <w:bottom w:val="single" w:sz="4" w:space="0" w:color="auto"/>
              <w:right w:val="single" w:sz="4" w:space="0" w:color="auto"/>
            </w:tcBorders>
            <w:shd w:val="clear" w:color="auto" w:fill="auto"/>
            <w:noWrap/>
            <w:vAlign w:val="bottom"/>
          </w:tcPr>
          <w:p w:rsidR="002A0BE2" w:rsidRPr="00545A61" w:rsidRDefault="002A0BE2" w:rsidP="002A0BE2">
            <w:pPr>
              <w:jc w:val="center"/>
              <w:rPr>
                <w:rFonts w:ascii="Arial" w:hAnsi="Arial" w:cs="Arial"/>
                <w:sz w:val="20"/>
                <w:szCs w:val="20"/>
              </w:rPr>
            </w:pPr>
            <w:r w:rsidRPr="00545A61">
              <w:rPr>
                <w:rFonts w:ascii="Arial" w:hAnsi="Arial" w:cs="Arial"/>
                <w:sz w:val="20"/>
                <w:szCs w:val="20"/>
              </w:rPr>
              <w:t>15</w:t>
            </w:r>
          </w:p>
        </w:tc>
        <w:tc>
          <w:tcPr>
            <w:tcW w:w="3969"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"Астра Биоплант" ЕООД</w:t>
            </w:r>
          </w:p>
        </w:tc>
        <w:tc>
          <w:tcPr>
            <w:tcW w:w="1333" w:type="dxa"/>
            <w:tcBorders>
              <w:top w:val="nil"/>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11 957</w:t>
            </w:r>
          </w:p>
        </w:tc>
        <w:tc>
          <w:tcPr>
            <w:tcW w:w="1130" w:type="dxa"/>
            <w:tcBorders>
              <w:top w:val="nil"/>
              <w:left w:val="nil"/>
              <w:bottom w:val="single" w:sz="4" w:space="0" w:color="auto"/>
              <w:right w:val="single" w:sz="4" w:space="0" w:color="auto"/>
            </w:tcBorders>
            <w:shd w:val="clear" w:color="auto" w:fill="auto"/>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11 957</w:t>
            </w:r>
          </w:p>
        </w:tc>
        <w:tc>
          <w:tcPr>
            <w:tcW w:w="1080" w:type="dxa"/>
            <w:tcBorders>
              <w:top w:val="nil"/>
              <w:left w:val="nil"/>
              <w:bottom w:val="single" w:sz="4" w:space="0" w:color="auto"/>
              <w:right w:val="single" w:sz="4" w:space="0" w:color="auto"/>
            </w:tcBorders>
            <w:shd w:val="clear" w:color="auto" w:fill="auto"/>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c>
          <w:tcPr>
            <w:tcW w:w="935"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c>
          <w:tcPr>
            <w:tcW w:w="1175" w:type="dxa"/>
            <w:tcBorders>
              <w:top w:val="nil"/>
              <w:left w:val="nil"/>
              <w:bottom w:val="single" w:sz="4" w:space="0" w:color="auto"/>
              <w:right w:val="single" w:sz="4" w:space="0" w:color="auto"/>
            </w:tcBorders>
            <w:shd w:val="clear" w:color="auto" w:fill="auto"/>
            <w:noWrap/>
            <w:vAlign w:val="center"/>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r>
      <w:tr w:rsidR="002A0BE2" w:rsidRPr="00545A61" w:rsidTr="00135F12">
        <w:trPr>
          <w:trHeight w:val="233"/>
        </w:trPr>
        <w:tc>
          <w:tcPr>
            <w:tcW w:w="398" w:type="dxa"/>
            <w:tcBorders>
              <w:top w:val="nil"/>
              <w:left w:val="single" w:sz="4" w:space="0" w:color="auto"/>
              <w:bottom w:val="single" w:sz="4" w:space="0" w:color="auto"/>
              <w:right w:val="single" w:sz="4" w:space="0" w:color="auto"/>
            </w:tcBorders>
            <w:shd w:val="clear" w:color="auto" w:fill="auto"/>
            <w:noWrap/>
            <w:vAlign w:val="bottom"/>
          </w:tcPr>
          <w:p w:rsidR="002A0BE2" w:rsidRPr="00545A61" w:rsidRDefault="002A0BE2" w:rsidP="002A0BE2">
            <w:pPr>
              <w:jc w:val="center"/>
              <w:rPr>
                <w:rFonts w:ascii="Arial" w:hAnsi="Arial" w:cs="Arial"/>
                <w:sz w:val="20"/>
                <w:szCs w:val="20"/>
              </w:rPr>
            </w:pPr>
            <w:r w:rsidRPr="00545A61">
              <w:rPr>
                <w:rFonts w:ascii="Arial" w:hAnsi="Arial" w:cs="Arial"/>
                <w:sz w:val="20"/>
                <w:szCs w:val="20"/>
              </w:rPr>
              <w:t>16</w:t>
            </w:r>
          </w:p>
        </w:tc>
        <w:tc>
          <w:tcPr>
            <w:tcW w:w="3969"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"Фючер планет" ЕООД</w:t>
            </w:r>
          </w:p>
        </w:tc>
        <w:tc>
          <w:tcPr>
            <w:tcW w:w="1333" w:type="dxa"/>
            <w:tcBorders>
              <w:top w:val="nil"/>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11 259</w:t>
            </w:r>
          </w:p>
        </w:tc>
        <w:tc>
          <w:tcPr>
            <w:tcW w:w="1130" w:type="dxa"/>
            <w:tcBorders>
              <w:top w:val="nil"/>
              <w:left w:val="nil"/>
              <w:bottom w:val="single" w:sz="4" w:space="0" w:color="auto"/>
              <w:right w:val="single" w:sz="4" w:space="0" w:color="auto"/>
            </w:tcBorders>
            <w:shd w:val="clear" w:color="auto" w:fill="auto"/>
          </w:tcPr>
          <w:p w:rsidR="002A0BE2" w:rsidRPr="00545A61" w:rsidRDefault="002A0BE2" w:rsidP="002A0BE2">
            <w:pPr>
              <w:jc w:val="right"/>
              <w:rPr>
                <w:rFonts w:ascii="Arial" w:hAnsi="Arial" w:cs="Arial"/>
                <w:color w:val="000000"/>
                <w:sz w:val="20"/>
                <w:szCs w:val="20"/>
              </w:rPr>
            </w:pPr>
            <w:r w:rsidRPr="00545A61">
              <w:rPr>
                <w:rFonts w:ascii="Arial" w:hAnsi="Arial" w:cs="Arial"/>
                <w:color w:val="000000"/>
                <w:sz w:val="20"/>
                <w:szCs w:val="20"/>
              </w:rPr>
              <w:t>3 044</w:t>
            </w:r>
          </w:p>
        </w:tc>
        <w:tc>
          <w:tcPr>
            <w:tcW w:w="1080" w:type="dxa"/>
            <w:tcBorders>
              <w:top w:val="nil"/>
              <w:left w:val="nil"/>
              <w:bottom w:val="single" w:sz="4" w:space="0" w:color="auto"/>
              <w:right w:val="single" w:sz="4" w:space="0" w:color="auto"/>
            </w:tcBorders>
            <w:shd w:val="clear" w:color="auto" w:fill="auto"/>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3 040</w:t>
            </w:r>
          </w:p>
        </w:tc>
        <w:tc>
          <w:tcPr>
            <w:tcW w:w="935"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5 175</w:t>
            </w:r>
          </w:p>
        </w:tc>
        <w:tc>
          <w:tcPr>
            <w:tcW w:w="1175" w:type="dxa"/>
            <w:tcBorders>
              <w:top w:val="nil"/>
              <w:left w:val="nil"/>
              <w:bottom w:val="single" w:sz="4" w:space="0" w:color="auto"/>
              <w:right w:val="single" w:sz="4" w:space="0" w:color="auto"/>
            </w:tcBorders>
            <w:shd w:val="clear" w:color="auto" w:fill="auto"/>
            <w:noWrap/>
            <w:vAlign w:val="center"/>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r>
      <w:tr w:rsidR="002A0BE2" w:rsidRPr="00545A61" w:rsidTr="006033C4">
        <w:trPr>
          <w:trHeight w:val="233"/>
        </w:trPr>
        <w:tc>
          <w:tcPr>
            <w:tcW w:w="398" w:type="dxa"/>
            <w:tcBorders>
              <w:top w:val="nil"/>
              <w:left w:val="single" w:sz="4" w:space="0" w:color="auto"/>
              <w:bottom w:val="single" w:sz="4" w:space="0" w:color="auto"/>
              <w:right w:val="single" w:sz="4" w:space="0" w:color="auto"/>
            </w:tcBorders>
            <w:shd w:val="clear" w:color="auto" w:fill="auto"/>
            <w:noWrap/>
            <w:vAlign w:val="bottom"/>
          </w:tcPr>
          <w:p w:rsidR="002A0BE2" w:rsidRPr="00545A61" w:rsidRDefault="002A0BE2" w:rsidP="002A0BE2">
            <w:pPr>
              <w:jc w:val="center"/>
              <w:rPr>
                <w:rFonts w:ascii="Arial" w:hAnsi="Arial" w:cs="Arial"/>
                <w:sz w:val="20"/>
                <w:szCs w:val="20"/>
              </w:rPr>
            </w:pPr>
          </w:p>
        </w:tc>
        <w:tc>
          <w:tcPr>
            <w:tcW w:w="3969"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от 402</w:t>
            </w:r>
          </w:p>
        </w:tc>
        <w:tc>
          <w:tcPr>
            <w:tcW w:w="1333"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jc w:val="right"/>
              <w:rPr>
                <w:rFonts w:ascii="Arial" w:hAnsi="Arial" w:cs="Arial"/>
                <w:sz w:val="20"/>
                <w:szCs w:val="20"/>
                <w:lang w:eastAsia="bg-BG"/>
              </w:rPr>
            </w:pPr>
            <w:r w:rsidRPr="00545A61">
              <w:rPr>
                <w:rFonts w:ascii="Arial" w:hAnsi="Arial" w:cs="Arial"/>
                <w:sz w:val="20"/>
                <w:szCs w:val="20"/>
              </w:rPr>
              <w:t>83 522</w:t>
            </w:r>
          </w:p>
        </w:tc>
        <w:tc>
          <w:tcPr>
            <w:tcW w:w="1130" w:type="dxa"/>
            <w:tcBorders>
              <w:top w:val="nil"/>
              <w:left w:val="nil"/>
              <w:bottom w:val="single" w:sz="4" w:space="0" w:color="auto"/>
              <w:right w:val="single" w:sz="4" w:space="0" w:color="auto"/>
            </w:tcBorders>
            <w:shd w:val="clear" w:color="auto" w:fill="auto"/>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50 222</w:t>
            </w:r>
          </w:p>
        </w:tc>
        <w:tc>
          <w:tcPr>
            <w:tcW w:w="1080" w:type="dxa"/>
            <w:tcBorders>
              <w:top w:val="nil"/>
              <w:left w:val="nil"/>
              <w:bottom w:val="single" w:sz="4" w:space="0" w:color="auto"/>
              <w:right w:val="single" w:sz="4" w:space="0" w:color="auto"/>
            </w:tcBorders>
            <w:shd w:val="clear" w:color="auto" w:fill="auto"/>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33 300</w:t>
            </w:r>
          </w:p>
        </w:tc>
        <w:tc>
          <w:tcPr>
            <w:tcW w:w="935"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c>
          <w:tcPr>
            <w:tcW w:w="1175" w:type="dxa"/>
            <w:tcBorders>
              <w:top w:val="nil"/>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r>
      <w:tr w:rsidR="002A0BE2" w:rsidRPr="00545A61" w:rsidTr="006033C4">
        <w:trPr>
          <w:trHeight w:val="277"/>
        </w:trPr>
        <w:tc>
          <w:tcPr>
            <w:tcW w:w="398" w:type="dxa"/>
            <w:tcBorders>
              <w:top w:val="nil"/>
              <w:left w:val="single" w:sz="4" w:space="0" w:color="auto"/>
              <w:bottom w:val="single" w:sz="4" w:space="0" w:color="auto"/>
              <w:right w:val="single" w:sz="4" w:space="0" w:color="auto"/>
            </w:tcBorders>
            <w:shd w:val="clear" w:color="auto" w:fill="auto"/>
            <w:noWrap/>
            <w:vAlign w:val="bottom"/>
          </w:tcPr>
          <w:p w:rsidR="002A0BE2" w:rsidRPr="00545A61" w:rsidRDefault="002A0BE2" w:rsidP="002A0BE2">
            <w:pPr>
              <w:jc w:val="center"/>
              <w:rPr>
                <w:rFonts w:ascii="Arial" w:hAnsi="Arial" w:cs="Arial"/>
                <w:sz w:val="20"/>
                <w:szCs w:val="20"/>
              </w:rPr>
            </w:pPr>
          </w:p>
        </w:tc>
        <w:tc>
          <w:tcPr>
            <w:tcW w:w="3969"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rPr>
                <w:rFonts w:ascii="Arial" w:hAnsi="Arial" w:cs="Arial"/>
                <w:sz w:val="20"/>
                <w:szCs w:val="20"/>
              </w:rPr>
            </w:pPr>
            <w:r w:rsidRPr="00545A61">
              <w:rPr>
                <w:rFonts w:ascii="Arial" w:hAnsi="Arial" w:cs="Arial"/>
                <w:sz w:val="20"/>
                <w:szCs w:val="20"/>
              </w:rPr>
              <w:t xml:space="preserve">Други </w:t>
            </w:r>
          </w:p>
        </w:tc>
        <w:tc>
          <w:tcPr>
            <w:tcW w:w="1333"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jc w:val="right"/>
              <w:rPr>
                <w:rFonts w:ascii="Arial" w:hAnsi="Arial" w:cs="Arial"/>
                <w:sz w:val="20"/>
                <w:szCs w:val="20"/>
                <w:lang w:eastAsia="bg-BG"/>
              </w:rPr>
            </w:pPr>
            <w:r w:rsidRPr="00545A61">
              <w:rPr>
                <w:rFonts w:ascii="Arial" w:hAnsi="Arial" w:cs="Arial"/>
                <w:sz w:val="20"/>
                <w:szCs w:val="20"/>
              </w:rPr>
              <w:t>70 072</w:t>
            </w:r>
          </w:p>
        </w:tc>
        <w:tc>
          <w:tcPr>
            <w:tcW w:w="1130" w:type="dxa"/>
            <w:tcBorders>
              <w:top w:val="nil"/>
              <w:left w:val="nil"/>
              <w:bottom w:val="single" w:sz="4" w:space="0" w:color="auto"/>
              <w:right w:val="single" w:sz="4" w:space="0" w:color="auto"/>
            </w:tcBorders>
            <w:shd w:val="clear" w:color="auto" w:fill="auto"/>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59 640</w:t>
            </w:r>
          </w:p>
        </w:tc>
        <w:tc>
          <w:tcPr>
            <w:tcW w:w="1080" w:type="dxa"/>
            <w:tcBorders>
              <w:top w:val="nil"/>
              <w:left w:val="nil"/>
              <w:bottom w:val="single" w:sz="4" w:space="0" w:color="auto"/>
              <w:right w:val="single" w:sz="4" w:space="0" w:color="auto"/>
            </w:tcBorders>
            <w:shd w:val="clear" w:color="auto" w:fill="auto"/>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6 543</w:t>
            </w:r>
          </w:p>
        </w:tc>
        <w:tc>
          <w:tcPr>
            <w:tcW w:w="935"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jc w:val="right"/>
              <w:rPr>
                <w:rFonts w:ascii="Arial" w:hAnsi="Arial" w:cs="Arial"/>
                <w:sz w:val="20"/>
                <w:szCs w:val="20"/>
              </w:rPr>
            </w:pPr>
            <w:r w:rsidRPr="00545A61">
              <w:rPr>
                <w:rFonts w:ascii="Arial" w:hAnsi="Arial" w:cs="Arial"/>
                <w:sz w:val="20"/>
                <w:szCs w:val="20"/>
              </w:rPr>
              <w:t>3 890</w:t>
            </w:r>
          </w:p>
        </w:tc>
        <w:tc>
          <w:tcPr>
            <w:tcW w:w="1175" w:type="dxa"/>
            <w:tcBorders>
              <w:top w:val="nil"/>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sz w:val="20"/>
                <w:szCs w:val="20"/>
              </w:rPr>
            </w:pPr>
            <w:r w:rsidRPr="00545A61">
              <w:rPr>
                <w:rFonts w:ascii="Arial" w:hAnsi="Arial" w:cs="Arial"/>
                <w:sz w:val="20"/>
                <w:szCs w:val="20"/>
              </w:rPr>
              <w:t>0</w:t>
            </w:r>
          </w:p>
        </w:tc>
      </w:tr>
      <w:tr w:rsidR="002A0BE2" w:rsidRPr="00545A61" w:rsidTr="006033C4">
        <w:trPr>
          <w:trHeight w:val="277"/>
        </w:trPr>
        <w:tc>
          <w:tcPr>
            <w:tcW w:w="398" w:type="dxa"/>
            <w:tcBorders>
              <w:top w:val="nil"/>
              <w:left w:val="single" w:sz="4" w:space="0" w:color="auto"/>
              <w:bottom w:val="single" w:sz="4" w:space="0" w:color="auto"/>
              <w:right w:val="single" w:sz="4" w:space="0" w:color="auto"/>
            </w:tcBorders>
            <w:shd w:val="clear" w:color="auto" w:fill="auto"/>
            <w:noWrap/>
            <w:vAlign w:val="bottom"/>
          </w:tcPr>
          <w:p w:rsidR="002A0BE2" w:rsidRPr="00545A61" w:rsidRDefault="002A0BE2" w:rsidP="002A0BE2">
            <w:pPr>
              <w:jc w:val="center"/>
              <w:rPr>
                <w:rFonts w:ascii="Arial" w:hAnsi="Arial" w:cs="Arial"/>
                <w:sz w:val="20"/>
                <w:szCs w:val="20"/>
              </w:rPr>
            </w:pPr>
            <w:r w:rsidRPr="00545A61">
              <w:rPr>
                <w:rFonts w:ascii="Arial" w:hAnsi="Arial" w:cs="Arial"/>
                <w:sz w:val="20"/>
                <w:szCs w:val="20"/>
              </w:rPr>
              <w:t> </w:t>
            </w:r>
          </w:p>
        </w:tc>
        <w:tc>
          <w:tcPr>
            <w:tcW w:w="3969"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rPr>
                <w:rFonts w:ascii="Arial" w:hAnsi="Arial" w:cs="Arial"/>
                <w:b/>
                <w:bCs/>
                <w:sz w:val="20"/>
                <w:szCs w:val="20"/>
              </w:rPr>
            </w:pPr>
            <w:r w:rsidRPr="00545A61">
              <w:rPr>
                <w:rFonts w:ascii="Arial" w:hAnsi="Arial" w:cs="Arial"/>
                <w:b/>
                <w:bCs/>
                <w:sz w:val="20"/>
                <w:szCs w:val="20"/>
              </w:rPr>
              <w:t>Обща сума ПК</w:t>
            </w:r>
          </w:p>
        </w:tc>
        <w:tc>
          <w:tcPr>
            <w:tcW w:w="1333"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jc w:val="right"/>
              <w:rPr>
                <w:rFonts w:ascii="Arial" w:hAnsi="Arial" w:cs="Arial"/>
                <w:b/>
                <w:bCs/>
                <w:sz w:val="20"/>
                <w:szCs w:val="20"/>
              </w:rPr>
            </w:pPr>
            <w:r w:rsidRPr="00545A61">
              <w:rPr>
                <w:rFonts w:ascii="Arial" w:hAnsi="Arial" w:cs="Arial"/>
                <w:b/>
                <w:bCs/>
                <w:sz w:val="20"/>
                <w:szCs w:val="20"/>
              </w:rPr>
              <w:t>694 413</w:t>
            </w:r>
          </w:p>
        </w:tc>
        <w:tc>
          <w:tcPr>
            <w:tcW w:w="1130"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jc w:val="right"/>
              <w:rPr>
                <w:rFonts w:ascii="Arial" w:hAnsi="Arial" w:cs="Arial"/>
                <w:b/>
                <w:bCs/>
                <w:sz w:val="20"/>
                <w:szCs w:val="20"/>
              </w:rPr>
            </w:pPr>
            <w:r w:rsidRPr="00545A61">
              <w:rPr>
                <w:rFonts w:ascii="Arial" w:hAnsi="Arial" w:cs="Arial"/>
                <w:b/>
                <w:bCs/>
                <w:sz w:val="20"/>
                <w:szCs w:val="20"/>
              </w:rPr>
              <w:t>534 422</w:t>
            </w:r>
          </w:p>
        </w:tc>
        <w:tc>
          <w:tcPr>
            <w:tcW w:w="1080"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jc w:val="right"/>
              <w:rPr>
                <w:rFonts w:ascii="Arial" w:hAnsi="Arial" w:cs="Arial"/>
                <w:b/>
                <w:bCs/>
                <w:sz w:val="20"/>
                <w:szCs w:val="20"/>
              </w:rPr>
            </w:pPr>
            <w:r w:rsidRPr="00545A61">
              <w:rPr>
                <w:rFonts w:ascii="Arial" w:hAnsi="Arial" w:cs="Arial"/>
                <w:b/>
                <w:bCs/>
                <w:sz w:val="20"/>
                <w:szCs w:val="20"/>
              </w:rPr>
              <w:t>120 010</w:t>
            </w:r>
          </w:p>
        </w:tc>
        <w:tc>
          <w:tcPr>
            <w:tcW w:w="935" w:type="dxa"/>
            <w:tcBorders>
              <w:top w:val="nil"/>
              <w:left w:val="nil"/>
              <w:bottom w:val="single" w:sz="4" w:space="0" w:color="auto"/>
              <w:right w:val="single" w:sz="4" w:space="0" w:color="auto"/>
            </w:tcBorders>
            <w:shd w:val="clear" w:color="auto" w:fill="auto"/>
            <w:noWrap/>
            <w:vAlign w:val="bottom"/>
          </w:tcPr>
          <w:p w:rsidR="002A0BE2" w:rsidRPr="00545A61" w:rsidRDefault="002A0BE2" w:rsidP="002A0BE2">
            <w:pPr>
              <w:jc w:val="right"/>
              <w:rPr>
                <w:rFonts w:ascii="Arial" w:hAnsi="Arial" w:cs="Arial"/>
                <w:b/>
                <w:bCs/>
                <w:sz w:val="20"/>
                <w:szCs w:val="20"/>
              </w:rPr>
            </w:pPr>
            <w:r w:rsidRPr="00545A61">
              <w:rPr>
                <w:rFonts w:ascii="Arial" w:hAnsi="Arial" w:cs="Arial"/>
                <w:b/>
                <w:bCs/>
                <w:sz w:val="20"/>
                <w:szCs w:val="20"/>
              </w:rPr>
              <w:t>39 981</w:t>
            </w:r>
          </w:p>
        </w:tc>
        <w:tc>
          <w:tcPr>
            <w:tcW w:w="1175" w:type="dxa"/>
            <w:tcBorders>
              <w:top w:val="nil"/>
              <w:left w:val="nil"/>
              <w:bottom w:val="single" w:sz="4" w:space="0" w:color="auto"/>
              <w:right w:val="single" w:sz="4" w:space="0" w:color="auto"/>
            </w:tcBorders>
            <w:shd w:val="clear" w:color="auto" w:fill="auto"/>
            <w:noWrap/>
          </w:tcPr>
          <w:p w:rsidR="002A0BE2" w:rsidRPr="00545A61" w:rsidRDefault="002A0BE2" w:rsidP="002A0BE2">
            <w:pPr>
              <w:jc w:val="right"/>
              <w:rPr>
                <w:rFonts w:ascii="Arial" w:hAnsi="Arial" w:cs="Arial"/>
                <w:b/>
                <w:bCs/>
                <w:sz w:val="20"/>
                <w:szCs w:val="20"/>
              </w:rPr>
            </w:pPr>
            <w:r w:rsidRPr="00545A61">
              <w:rPr>
                <w:rFonts w:ascii="Arial" w:hAnsi="Arial" w:cs="Arial"/>
                <w:b/>
                <w:bCs/>
                <w:sz w:val="20"/>
                <w:szCs w:val="20"/>
              </w:rPr>
              <w:t>0</w:t>
            </w:r>
          </w:p>
        </w:tc>
      </w:tr>
    </w:tbl>
    <w:p w:rsidR="00136E64" w:rsidRPr="00545A61" w:rsidRDefault="00136E64" w:rsidP="00136E64">
      <w:pPr>
        <w:spacing w:after="120"/>
        <w:ind w:firstLine="709"/>
        <w:jc w:val="both"/>
        <w:rPr>
          <w:rFonts w:ascii="Arial" w:hAnsi="Arial" w:cs="Arial"/>
          <w:sz w:val="20"/>
          <w:szCs w:val="20"/>
        </w:rPr>
      </w:pPr>
    </w:p>
    <w:p w:rsidR="00136E64" w:rsidRDefault="00C165A9" w:rsidP="00136E64">
      <w:pPr>
        <w:spacing w:after="120"/>
        <w:ind w:firstLine="709"/>
        <w:jc w:val="both"/>
      </w:pPr>
      <w:r w:rsidRPr="005E77C9">
        <w:t>„</w:t>
      </w:r>
      <w:r w:rsidR="00136E64" w:rsidRPr="005E77C9">
        <w:t>Пристанищен комплекс–Русе</w:t>
      </w:r>
      <w:r w:rsidRPr="005E77C9">
        <w:t>“</w:t>
      </w:r>
      <w:r w:rsidR="00136E64" w:rsidRPr="005E77C9">
        <w:t xml:space="preserve"> ЕАД приключва 201</w:t>
      </w:r>
      <w:r w:rsidR="00143513" w:rsidRPr="005E77C9">
        <w:t>9</w:t>
      </w:r>
      <w:r w:rsidR="00136E64" w:rsidRPr="005E77C9">
        <w:t xml:space="preserve"> г</w:t>
      </w:r>
      <w:r w:rsidR="001E1227" w:rsidRPr="005E77C9">
        <w:t>.</w:t>
      </w:r>
      <w:r w:rsidR="00136E64" w:rsidRPr="005E77C9">
        <w:t xml:space="preserve"> с </w:t>
      </w:r>
      <w:r w:rsidR="004E0476" w:rsidRPr="005E77C9">
        <w:t>6</w:t>
      </w:r>
      <w:r w:rsidR="00143513" w:rsidRPr="005E77C9">
        <w:t>94</w:t>
      </w:r>
      <w:r w:rsidR="00136E64" w:rsidRPr="005E77C9">
        <w:t xml:space="preserve"> хил.</w:t>
      </w:r>
      <w:r w:rsidR="00BB77A4" w:rsidRPr="005E77C9">
        <w:t xml:space="preserve"> </w:t>
      </w:r>
      <w:r w:rsidR="00136E64" w:rsidRPr="005E77C9">
        <w:t>лв</w:t>
      </w:r>
      <w:r w:rsidR="001E1227" w:rsidRPr="005E77C9">
        <w:t>.</w:t>
      </w:r>
      <w:r w:rsidR="00136E64" w:rsidRPr="005E77C9">
        <w:t xml:space="preserve"> вземания от клиенти и доставчици. Към 31.12.201</w:t>
      </w:r>
      <w:r w:rsidR="00143513" w:rsidRPr="005E77C9">
        <w:t>9</w:t>
      </w:r>
      <w:r w:rsidR="00136E64" w:rsidRPr="005E77C9">
        <w:t>г. клиентите, влизащи в групата на по-големите длъжници (дължащи суми над 10 хил.</w:t>
      </w:r>
      <w:r w:rsidR="00BB77A4" w:rsidRPr="005E77C9">
        <w:t xml:space="preserve"> </w:t>
      </w:r>
      <w:r w:rsidR="00136E64" w:rsidRPr="005E77C9">
        <w:t>лв</w:t>
      </w:r>
      <w:r w:rsidR="001E1227" w:rsidRPr="005E77C9">
        <w:t>.</w:t>
      </w:r>
      <w:r w:rsidR="00136E64" w:rsidRPr="005E77C9">
        <w:t xml:space="preserve"> от общите вземания) са посочени в горната таблица. Общо, тези клиенти дължат </w:t>
      </w:r>
      <w:r w:rsidR="005A762D" w:rsidRPr="005E77C9">
        <w:t>5</w:t>
      </w:r>
      <w:r w:rsidR="00143513" w:rsidRPr="005E77C9">
        <w:t>41</w:t>
      </w:r>
      <w:r w:rsidR="00136E64" w:rsidRPr="005E77C9">
        <w:t xml:space="preserve"> хил. лв., което задължение представлява </w:t>
      </w:r>
      <w:r w:rsidR="00143513" w:rsidRPr="005E77C9">
        <w:t>78</w:t>
      </w:r>
      <w:r w:rsidR="00136E64" w:rsidRPr="005E77C9">
        <w:t xml:space="preserve"> % от вземанията на дружеството.</w:t>
      </w:r>
      <w:r w:rsidR="00136E64" w:rsidRPr="003D5468">
        <w:t xml:space="preserve"> </w:t>
      </w:r>
    </w:p>
    <w:p w:rsidR="00EA1EAF" w:rsidRPr="00EA1EAF" w:rsidRDefault="00430B05" w:rsidP="00136E64">
      <w:pPr>
        <w:spacing w:after="120"/>
        <w:ind w:firstLine="709"/>
        <w:jc w:val="both"/>
        <w:rPr>
          <w:szCs w:val="26"/>
        </w:rPr>
      </w:pPr>
      <w:r w:rsidRPr="00EA1EAF">
        <w:rPr>
          <w:szCs w:val="26"/>
        </w:rPr>
        <w:t>Сумата от 84 хил.</w:t>
      </w:r>
      <w:r w:rsidR="00BB77A4" w:rsidRPr="00EA1EAF">
        <w:rPr>
          <w:szCs w:val="26"/>
        </w:rPr>
        <w:t xml:space="preserve"> </w:t>
      </w:r>
      <w:r w:rsidRPr="00EA1EAF">
        <w:rPr>
          <w:szCs w:val="26"/>
        </w:rPr>
        <w:t>лв. в сметка 402 – Доставчици по аванси, се формира от</w:t>
      </w:r>
      <w:r w:rsidR="00EA1EAF" w:rsidRPr="00EA1EAF">
        <w:rPr>
          <w:szCs w:val="26"/>
        </w:rPr>
        <w:t xml:space="preserve">: </w:t>
      </w:r>
    </w:p>
    <w:p w:rsidR="00EA1EAF" w:rsidRPr="00EA1EAF" w:rsidRDefault="00430B05" w:rsidP="00EA1EAF">
      <w:pPr>
        <w:pStyle w:val="ListParagraph"/>
        <w:numPr>
          <w:ilvl w:val="0"/>
          <w:numId w:val="25"/>
        </w:numPr>
        <w:spacing w:after="120"/>
        <w:ind w:left="993" w:hanging="284"/>
        <w:jc w:val="both"/>
        <w:rPr>
          <w:szCs w:val="26"/>
        </w:rPr>
      </w:pPr>
      <w:r w:rsidRPr="00EA1EAF">
        <w:rPr>
          <w:szCs w:val="26"/>
        </w:rPr>
        <w:t>3</w:t>
      </w:r>
      <w:r w:rsidR="00657752" w:rsidRPr="00EA1EAF">
        <w:rPr>
          <w:szCs w:val="26"/>
        </w:rPr>
        <w:t>4</w:t>
      </w:r>
      <w:r w:rsidRPr="00EA1EAF">
        <w:rPr>
          <w:szCs w:val="26"/>
        </w:rPr>
        <w:t xml:space="preserve"> хил.</w:t>
      </w:r>
      <w:r w:rsidR="00BB77A4" w:rsidRPr="00EA1EAF">
        <w:rPr>
          <w:szCs w:val="26"/>
        </w:rPr>
        <w:t xml:space="preserve"> </w:t>
      </w:r>
      <w:r w:rsidRPr="00EA1EAF">
        <w:rPr>
          <w:szCs w:val="26"/>
        </w:rPr>
        <w:t>лв. авансово плащане за доставка на вилков повдигач</w:t>
      </w:r>
      <w:r w:rsidR="00EA1EAF" w:rsidRPr="00EA1EAF">
        <w:rPr>
          <w:szCs w:val="26"/>
        </w:rPr>
        <w:t>;</w:t>
      </w:r>
      <w:r w:rsidRPr="00EA1EAF">
        <w:rPr>
          <w:szCs w:val="26"/>
        </w:rPr>
        <w:t>,</w:t>
      </w:r>
    </w:p>
    <w:p w:rsidR="00EA1EAF" w:rsidRPr="00EA1EAF" w:rsidRDefault="00430B05" w:rsidP="00EA1EAF">
      <w:pPr>
        <w:pStyle w:val="ListParagraph"/>
        <w:numPr>
          <w:ilvl w:val="0"/>
          <w:numId w:val="24"/>
        </w:numPr>
        <w:spacing w:after="120"/>
        <w:jc w:val="both"/>
        <w:rPr>
          <w:sz w:val="22"/>
        </w:rPr>
      </w:pPr>
      <w:r w:rsidRPr="00EA1EAF">
        <w:rPr>
          <w:szCs w:val="26"/>
        </w:rPr>
        <w:t>1 хил.</w:t>
      </w:r>
      <w:r w:rsidR="00BB77A4" w:rsidRPr="00EA1EAF">
        <w:rPr>
          <w:szCs w:val="26"/>
        </w:rPr>
        <w:t xml:space="preserve"> </w:t>
      </w:r>
      <w:r w:rsidRPr="00EA1EAF">
        <w:rPr>
          <w:szCs w:val="26"/>
        </w:rPr>
        <w:t>лв. аванс за закупуване на хидравличен крик</w:t>
      </w:r>
      <w:r w:rsidR="00657752" w:rsidRPr="00EA1EAF">
        <w:rPr>
          <w:szCs w:val="26"/>
          <w:lang w:val="en-US"/>
        </w:rPr>
        <w:t xml:space="preserve"> </w:t>
      </w:r>
      <w:r w:rsidR="00657752" w:rsidRPr="00EA1EAF">
        <w:rPr>
          <w:szCs w:val="26"/>
        </w:rPr>
        <w:t>и</w:t>
      </w:r>
    </w:p>
    <w:p w:rsidR="00430B05" w:rsidRPr="00EA1EAF" w:rsidRDefault="00430B05" w:rsidP="00EA1EAF">
      <w:pPr>
        <w:pStyle w:val="ListParagraph"/>
        <w:numPr>
          <w:ilvl w:val="0"/>
          <w:numId w:val="25"/>
        </w:numPr>
        <w:spacing w:after="120"/>
        <w:ind w:left="993" w:hanging="284"/>
        <w:jc w:val="both"/>
        <w:rPr>
          <w:szCs w:val="26"/>
        </w:rPr>
      </w:pPr>
      <w:r w:rsidRPr="00EA1EAF">
        <w:rPr>
          <w:szCs w:val="26"/>
        </w:rPr>
        <w:t>49 хил.</w:t>
      </w:r>
      <w:r w:rsidR="00BB77A4" w:rsidRPr="00EA1EAF">
        <w:rPr>
          <w:szCs w:val="26"/>
        </w:rPr>
        <w:t xml:space="preserve"> </w:t>
      </w:r>
      <w:r w:rsidRPr="00EA1EAF">
        <w:rPr>
          <w:szCs w:val="26"/>
        </w:rPr>
        <w:t>лв.</w:t>
      </w:r>
      <w:r w:rsidR="00EA1EAF" w:rsidRPr="00EA1EAF">
        <w:rPr>
          <w:szCs w:val="26"/>
        </w:rPr>
        <w:t xml:space="preserve"> са направените разходи в преи</w:t>
      </w:r>
      <w:r w:rsidR="00EA1EAF">
        <w:rPr>
          <w:szCs w:val="26"/>
        </w:rPr>
        <w:t xml:space="preserve">зпълнение </w:t>
      </w:r>
      <w:r w:rsidR="00EA1EAF" w:rsidRPr="00EA1EAF">
        <w:rPr>
          <w:szCs w:val="26"/>
        </w:rPr>
        <w:t xml:space="preserve">на инвестиционната програма </w:t>
      </w:r>
      <w:r w:rsidRPr="00EA1EAF">
        <w:rPr>
          <w:szCs w:val="26"/>
        </w:rPr>
        <w:t>към ДП“</w:t>
      </w:r>
      <w:r w:rsidR="00BB77A4" w:rsidRPr="00EA1EAF">
        <w:rPr>
          <w:szCs w:val="26"/>
        </w:rPr>
        <w:t xml:space="preserve"> </w:t>
      </w:r>
      <w:r w:rsidRPr="00EA1EAF">
        <w:rPr>
          <w:szCs w:val="26"/>
        </w:rPr>
        <w:t>Пристанищна Инфраструктура“ съгласно договор, сключен с МТИТС</w:t>
      </w:r>
      <w:r w:rsidR="00EA1EAF" w:rsidRPr="00EA1EAF">
        <w:rPr>
          <w:szCs w:val="26"/>
        </w:rPr>
        <w:t>, за 2019 г. и се отчитат като аванс за 2020 г.</w:t>
      </w:r>
      <w:r w:rsidRPr="00EA1EAF">
        <w:rPr>
          <w:szCs w:val="26"/>
        </w:rPr>
        <w:t xml:space="preserve"> </w:t>
      </w:r>
    </w:p>
    <w:p w:rsidR="00136E64" w:rsidRPr="002B683F" w:rsidRDefault="00143513" w:rsidP="00136E64">
      <w:pPr>
        <w:spacing w:after="120"/>
        <w:ind w:firstLine="709"/>
        <w:jc w:val="both"/>
      </w:pPr>
      <w:r w:rsidRPr="00EA1EAF">
        <w:rPr>
          <w:sz w:val="26"/>
          <w:szCs w:val="26"/>
        </w:rPr>
        <w:t>По отношение на възрастова структура</w:t>
      </w:r>
      <w:r w:rsidRPr="002B683F">
        <w:rPr>
          <w:sz w:val="26"/>
          <w:szCs w:val="26"/>
        </w:rPr>
        <w:t>, вземанията със срок до 3 месеца са 77 %, от 3 до 6 месеца са 17 %, а просрочените вземания над 6 месеца са 6 % от общия обем вземания от клиенти и доставчици</w:t>
      </w:r>
      <w:r w:rsidR="00136E64" w:rsidRPr="002B683F">
        <w:t>.</w:t>
      </w:r>
    </w:p>
    <w:p w:rsidR="00B12704" w:rsidRDefault="005F0C28" w:rsidP="00B12704">
      <w:pPr>
        <w:ind w:firstLine="851"/>
        <w:jc w:val="both"/>
      </w:pPr>
      <w:r w:rsidRPr="002B683F">
        <w:rPr>
          <w:iCs/>
        </w:rPr>
        <w:t>Към 31.12.201</w:t>
      </w:r>
      <w:r w:rsidR="00143513" w:rsidRPr="002B683F">
        <w:rPr>
          <w:iCs/>
        </w:rPr>
        <w:t>8</w:t>
      </w:r>
      <w:r w:rsidRPr="002B683F">
        <w:rPr>
          <w:iCs/>
        </w:rPr>
        <w:t>г. вземанията от клиенти със задължение над 10 хил.</w:t>
      </w:r>
      <w:r w:rsidR="00BB77A4" w:rsidRPr="002B683F">
        <w:rPr>
          <w:iCs/>
        </w:rPr>
        <w:t xml:space="preserve"> </w:t>
      </w:r>
      <w:r w:rsidRPr="002B683F">
        <w:rPr>
          <w:iCs/>
        </w:rPr>
        <w:t>лв. са били следните</w:t>
      </w:r>
      <w:r w:rsidR="00B12704" w:rsidRPr="002B683F">
        <w:t>:</w:t>
      </w:r>
    </w:p>
    <w:p w:rsidR="00545A61" w:rsidRDefault="00545A61" w:rsidP="00B12704">
      <w:pPr>
        <w:ind w:firstLine="851"/>
        <w:jc w:val="both"/>
      </w:pPr>
    </w:p>
    <w:p w:rsidR="00545A61" w:rsidRDefault="00545A61" w:rsidP="00B12704">
      <w:pPr>
        <w:ind w:firstLine="851"/>
        <w:jc w:val="both"/>
      </w:pPr>
    </w:p>
    <w:p w:rsidR="00545A61" w:rsidRDefault="00545A61" w:rsidP="00B12704">
      <w:pPr>
        <w:ind w:firstLine="851"/>
        <w:jc w:val="both"/>
      </w:pPr>
    </w:p>
    <w:p w:rsidR="00545A61" w:rsidRDefault="00545A61" w:rsidP="00B12704">
      <w:pPr>
        <w:ind w:firstLine="851"/>
        <w:jc w:val="both"/>
      </w:pPr>
    </w:p>
    <w:p w:rsidR="00545A61" w:rsidRPr="003D5468" w:rsidRDefault="00545A61" w:rsidP="00B12704">
      <w:pPr>
        <w:ind w:firstLine="851"/>
        <w:jc w:val="both"/>
      </w:pPr>
    </w:p>
    <w:p w:rsidR="00A6298E" w:rsidRPr="003D5468" w:rsidRDefault="00A6298E" w:rsidP="00B12704">
      <w:pPr>
        <w:ind w:firstLine="851"/>
        <w:jc w:val="both"/>
      </w:pPr>
    </w:p>
    <w:tbl>
      <w:tblPr>
        <w:tblW w:w="7560" w:type="dxa"/>
        <w:tblInd w:w="1510" w:type="dxa"/>
        <w:tblCellMar>
          <w:left w:w="70" w:type="dxa"/>
          <w:right w:w="70" w:type="dxa"/>
        </w:tblCellMar>
        <w:tblLook w:val="0000" w:firstRow="0" w:lastRow="0" w:firstColumn="0" w:lastColumn="0" w:noHBand="0" w:noVBand="0"/>
      </w:tblPr>
      <w:tblGrid>
        <w:gridCol w:w="720"/>
        <w:gridCol w:w="4500"/>
        <w:gridCol w:w="2340"/>
      </w:tblGrid>
      <w:tr w:rsidR="00651232" w:rsidRPr="00545A61" w:rsidTr="007A3330">
        <w:trPr>
          <w:trHeight w:val="407"/>
        </w:trPr>
        <w:tc>
          <w:tcPr>
            <w:tcW w:w="720" w:type="dxa"/>
            <w:tcBorders>
              <w:top w:val="single" w:sz="4" w:space="0" w:color="auto"/>
              <w:left w:val="single" w:sz="4" w:space="0" w:color="auto"/>
              <w:bottom w:val="single" w:sz="4" w:space="0" w:color="auto"/>
              <w:right w:val="single" w:sz="4" w:space="0" w:color="auto"/>
            </w:tcBorders>
            <w:vAlign w:val="center"/>
          </w:tcPr>
          <w:p w:rsidR="00651232" w:rsidRPr="00545A61" w:rsidRDefault="00651232" w:rsidP="00391DB4">
            <w:pPr>
              <w:jc w:val="center"/>
              <w:rPr>
                <w:rFonts w:ascii="Arial" w:hAnsi="Arial" w:cs="Arial"/>
                <w:sz w:val="20"/>
                <w:szCs w:val="20"/>
              </w:rPr>
            </w:pPr>
            <w:r w:rsidRPr="00545A61">
              <w:rPr>
                <w:rFonts w:ascii="Arial" w:hAnsi="Arial" w:cs="Arial"/>
                <w:sz w:val="20"/>
                <w:szCs w:val="20"/>
              </w:rPr>
              <w:lastRenderedPageBreak/>
              <w: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1232" w:rsidRPr="00545A61" w:rsidRDefault="00651232" w:rsidP="009163A8">
            <w:pPr>
              <w:jc w:val="center"/>
              <w:rPr>
                <w:rFonts w:ascii="Arial" w:hAnsi="Arial" w:cs="Arial"/>
                <w:b/>
                <w:bCs/>
                <w:sz w:val="20"/>
                <w:szCs w:val="20"/>
              </w:rPr>
            </w:pPr>
            <w:r w:rsidRPr="00545A61">
              <w:rPr>
                <w:rFonts w:ascii="Arial" w:hAnsi="Arial" w:cs="Arial"/>
                <w:b/>
                <w:bCs/>
                <w:sz w:val="20"/>
                <w:szCs w:val="20"/>
              </w:rPr>
              <w:t>К</w:t>
            </w:r>
            <w:r w:rsidR="009163A8" w:rsidRPr="00545A61">
              <w:rPr>
                <w:rFonts w:ascii="Arial" w:hAnsi="Arial" w:cs="Arial"/>
                <w:b/>
                <w:bCs/>
                <w:sz w:val="20"/>
                <w:szCs w:val="20"/>
              </w:rPr>
              <w:t>онтрагенти</w:t>
            </w:r>
          </w:p>
        </w:tc>
        <w:tc>
          <w:tcPr>
            <w:tcW w:w="2340" w:type="dxa"/>
            <w:tcBorders>
              <w:top w:val="single" w:sz="4" w:space="0" w:color="auto"/>
              <w:left w:val="nil"/>
              <w:bottom w:val="single" w:sz="4" w:space="0" w:color="auto"/>
              <w:right w:val="single" w:sz="4" w:space="0" w:color="auto"/>
            </w:tcBorders>
            <w:shd w:val="clear" w:color="auto" w:fill="auto"/>
            <w:vAlign w:val="center"/>
          </w:tcPr>
          <w:p w:rsidR="00651232" w:rsidRPr="00545A61" w:rsidRDefault="00651232" w:rsidP="00143513">
            <w:pPr>
              <w:jc w:val="center"/>
              <w:rPr>
                <w:rFonts w:ascii="Arial" w:hAnsi="Arial" w:cs="Arial"/>
                <w:b/>
                <w:bCs/>
                <w:sz w:val="20"/>
                <w:szCs w:val="20"/>
              </w:rPr>
            </w:pPr>
            <w:r w:rsidRPr="00545A61">
              <w:rPr>
                <w:rFonts w:ascii="Arial" w:hAnsi="Arial" w:cs="Arial"/>
                <w:b/>
                <w:bCs/>
                <w:sz w:val="20"/>
                <w:szCs w:val="20"/>
              </w:rPr>
              <w:t>салдо 31.12.20</w:t>
            </w:r>
            <w:r w:rsidR="00C475C4" w:rsidRPr="00545A61">
              <w:rPr>
                <w:rFonts w:ascii="Arial" w:hAnsi="Arial" w:cs="Arial"/>
                <w:b/>
                <w:bCs/>
                <w:sz w:val="20"/>
                <w:szCs w:val="20"/>
              </w:rPr>
              <w:t>1</w:t>
            </w:r>
            <w:r w:rsidR="00143513" w:rsidRPr="00545A61">
              <w:rPr>
                <w:rFonts w:ascii="Arial" w:hAnsi="Arial" w:cs="Arial"/>
                <w:b/>
                <w:bCs/>
                <w:sz w:val="20"/>
                <w:szCs w:val="20"/>
              </w:rPr>
              <w:t>8</w:t>
            </w:r>
          </w:p>
        </w:tc>
      </w:tr>
      <w:tr w:rsidR="00143513" w:rsidRPr="00545A61" w:rsidTr="00473C3B">
        <w:trPr>
          <w:trHeight w:val="300"/>
        </w:trPr>
        <w:tc>
          <w:tcPr>
            <w:tcW w:w="720" w:type="dxa"/>
            <w:tcBorders>
              <w:top w:val="nil"/>
              <w:left w:val="single" w:sz="4" w:space="0" w:color="auto"/>
              <w:bottom w:val="single" w:sz="4" w:space="0" w:color="auto"/>
              <w:right w:val="single" w:sz="4" w:space="0" w:color="auto"/>
            </w:tcBorders>
            <w:shd w:val="clear" w:color="auto" w:fill="auto"/>
            <w:vAlign w:val="bottom"/>
          </w:tcPr>
          <w:p w:rsidR="00143513" w:rsidRPr="00545A61" w:rsidRDefault="00143513" w:rsidP="00143513">
            <w:pPr>
              <w:jc w:val="center"/>
              <w:rPr>
                <w:rFonts w:ascii="Arial" w:hAnsi="Arial" w:cs="Arial"/>
                <w:sz w:val="20"/>
                <w:szCs w:val="20"/>
              </w:rPr>
            </w:pPr>
            <w:r w:rsidRPr="00545A61">
              <w:rPr>
                <w:rFonts w:ascii="Arial" w:hAnsi="Arial" w:cs="Arial"/>
                <w:sz w:val="20"/>
                <w:szCs w:val="20"/>
              </w:rPr>
              <w:t>1</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3513" w:rsidRPr="00545A61" w:rsidRDefault="00143513" w:rsidP="00143513">
            <w:pPr>
              <w:rPr>
                <w:rFonts w:ascii="Arial" w:hAnsi="Arial" w:cs="Arial"/>
                <w:sz w:val="20"/>
                <w:szCs w:val="20"/>
                <w:lang w:eastAsia="bg-BG"/>
              </w:rPr>
            </w:pPr>
            <w:r w:rsidRPr="00545A61">
              <w:rPr>
                <w:rFonts w:ascii="Arial" w:hAnsi="Arial" w:cs="Arial"/>
                <w:sz w:val="20"/>
                <w:szCs w:val="20"/>
              </w:rPr>
              <w:t>"Топлофикация - Русе" ЕАД</w:t>
            </w:r>
          </w:p>
        </w:tc>
        <w:tc>
          <w:tcPr>
            <w:tcW w:w="2340" w:type="dxa"/>
            <w:tcBorders>
              <w:top w:val="single" w:sz="4" w:space="0" w:color="auto"/>
              <w:left w:val="nil"/>
              <w:bottom w:val="single" w:sz="4" w:space="0" w:color="auto"/>
              <w:right w:val="single" w:sz="4" w:space="0" w:color="auto"/>
            </w:tcBorders>
            <w:shd w:val="clear" w:color="auto" w:fill="auto"/>
            <w:noWrap/>
          </w:tcPr>
          <w:p w:rsidR="00143513" w:rsidRPr="00545A61" w:rsidRDefault="00143513" w:rsidP="00143513">
            <w:pPr>
              <w:jc w:val="right"/>
              <w:rPr>
                <w:rFonts w:ascii="Arial" w:hAnsi="Arial" w:cs="Arial"/>
                <w:color w:val="000000"/>
                <w:sz w:val="20"/>
                <w:szCs w:val="20"/>
              </w:rPr>
            </w:pPr>
            <w:r w:rsidRPr="00545A61">
              <w:rPr>
                <w:rFonts w:ascii="Arial" w:hAnsi="Arial" w:cs="Arial"/>
                <w:color w:val="000000"/>
                <w:sz w:val="20"/>
                <w:szCs w:val="20"/>
              </w:rPr>
              <w:t>221 707</w:t>
            </w:r>
          </w:p>
        </w:tc>
      </w:tr>
      <w:tr w:rsidR="00143513" w:rsidRPr="00545A61" w:rsidTr="00473C3B">
        <w:trPr>
          <w:trHeight w:val="300"/>
        </w:trPr>
        <w:tc>
          <w:tcPr>
            <w:tcW w:w="720" w:type="dxa"/>
            <w:tcBorders>
              <w:top w:val="nil"/>
              <w:left w:val="single" w:sz="4" w:space="0" w:color="auto"/>
              <w:bottom w:val="single" w:sz="4" w:space="0" w:color="auto"/>
              <w:right w:val="single" w:sz="4" w:space="0" w:color="auto"/>
            </w:tcBorders>
            <w:shd w:val="clear" w:color="auto" w:fill="auto"/>
            <w:vAlign w:val="bottom"/>
          </w:tcPr>
          <w:p w:rsidR="00143513" w:rsidRPr="00545A61" w:rsidRDefault="00143513" w:rsidP="00143513">
            <w:pPr>
              <w:jc w:val="center"/>
              <w:rPr>
                <w:rFonts w:ascii="Arial" w:hAnsi="Arial" w:cs="Arial"/>
                <w:sz w:val="20"/>
                <w:szCs w:val="20"/>
              </w:rPr>
            </w:pPr>
            <w:r w:rsidRPr="00545A61">
              <w:rPr>
                <w:rFonts w:ascii="Arial" w:hAnsi="Arial" w:cs="Arial"/>
                <w:sz w:val="20"/>
                <w:szCs w:val="20"/>
              </w:rPr>
              <w:t>2</w:t>
            </w:r>
          </w:p>
        </w:tc>
        <w:tc>
          <w:tcPr>
            <w:tcW w:w="4500" w:type="dxa"/>
            <w:tcBorders>
              <w:top w:val="nil"/>
              <w:left w:val="single" w:sz="4" w:space="0" w:color="auto"/>
              <w:bottom w:val="single" w:sz="4" w:space="0" w:color="auto"/>
              <w:right w:val="single" w:sz="4" w:space="0" w:color="auto"/>
            </w:tcBorders>
            <w:shd w:val="clear" w:color="auto" w:fill="auto"/>
            <w:noWrap/>
            <w:vAlign w:val="bottom"/>
          </w:tcPr>
          <w:p w:rsidR="00143513" w:rsidRPr="00545A61" w:rsidRDefault="00143513" w:rsidP="00143513">
            <w:pPr>
              <w:rPr>
                <w:rFonts w:ascii="Arial" w:hAnsi="Arial" w:cs="Arial"/>
                <w:sz w:val="20"/>
                <w:szCs w:val="20"/>
              </w:rPr>
            </w:pPr>
            <w:r w:rsidRPr="00545A61">
              <w:rPr>
                <w:rFonts w:ascii="Arial" w:hAnsi="Arial" w:cs="Arial"/>
                <w:sz w:val="20"/>
                <w:szCs w:val="20"/>
              </w:rPr>
              <w:t>"Рубишипс транспорт" ООД</w:t>
            </w:r>
          </w:p>
        </w:tc>
        <w:tc>
          <w:tcPr>
            <w:tcW w:w="2340" w:type="dxa"/>
            <w:tcBorders>
              <w:top w:val="nil"/>
              <w:left w:val="nil"/>
              <w:bottom w:val="single" w:sz="4" w:space="0" w:color="auto"/>
              <w:right w:val="single" w:sz="4" w:space="0" w:color="auto"/>
            </w:tcBorders>
            <w:shd w:val="clear" w:color="auto" w:fill="auto"/>
            <w:noWrap/>
          </w:tcPr>
          <w:p w:rsidR="00143513" w:rsidRPr="00545A61" w:rsidRDefault="00143513" w:rsidP="00143513">
            <w:pPr>
              <w:jc w:val="right"/>
              <w:rPr>
                <w:rFonts w:ascii="Arial" w:hAnsi="Arial" w:cs="Arial"/>
                <w:color w:val="000000"/>
                <w:sz w:val="20"/>
                <w:szCs w:val="20"/>
              </w:rPr>
            </w:pPr>
            <w:r w:rsidRPr="00545A61">
              <w:rPr>
                <w:rFonts w:ascii="Arial" w:hAnsi="Arial" w:cs="Arial"/>
                <w:color w:val="000000"/>
                <w:sz w:val="20"/>
                <w:szCs w:val="20"/>
              </w:rPr>
              <w:t>87 255</w:t>
            </w:r>
          </w:p>
        </w:tc>
      </w:tr>
      <w:tr w:rsidR="00143513" w:rsidRPr="00545A61" w:rsidTr="00473C3B">
        <w:trPr>
          <w:trHeight w:val="300"/>
        </w:trPr>
        <w:tc>
          <w:tcPr>
            <w:tcW w:w="720" w:type="dxa"/>
            <w:tcBorders>
              <w:top w:val="nil"/>
              <w:left w:val="single" w:sz="4" w:space="0" w:color="auto"/>
              <w:bottom w:val="single" w:sz="4" w:space="0" w:color="auto"/>
              <w:right w:val="single" w:sz="4" w:space="0" w:color="auto"/>
            </w:tcBorders>
            <w:shd w:val="clear" w:color="auto" w:fill="auto"/>
            <w:vAlign w:val="bottom"/>
          </w:tcPr>
          <w:p w:rsidR="00143513" w:rsidRPr="00545A61" w:rsidRDefault="00143513" w:rsidP="00143513">
            <w:pPr>
              <w:jc w:val="center"/>
              <w:rPr>
                <w:rFonts w:ascii="Arial" w:hAnsi="Arial" w:cs="Arial"/>
                <w:sz w:val="20"/>
                <w:szCs w:val="20"/>
              </w:rPr>
            </w:pPr>
            <w:r w:rsidRPr="00545A61">
              <w:rPr>
                <w:rFonts w:ascii="Arial" w:hAnsi="Arial" w:cs="Arial"/>
                <w:sz w:val="20"/>
                <w:szCs w:val="20"/>
              </w:rPr>
              <w:t>3</w:t>
            </w:r>
          </w:p>
        </w:tc>
        <w:tc>
          <w:tcPr>
            <w:tcW w:w="4500" w:type="dxa"/>
            <w:tcBorders>
              <w:top w:val="nil"/>
              <w:left w:val="single" w:sz="4" w:space="0" w:color="auto"/>
              <w:bottom w:val="single" w:sz="4" w:space="0" w:color="auto"/>
              <w:right w:val="single" w:sz="4" w:space="0" w:color="auto"/>
            </w:tcBorders>
            <w:shd w:val="clear" w:color="auto" w:fill="auto"/>
            <w:noWrap/>
            <w:vAlign w:val="bottom"/>
          </w:tcPr>
          <w:p w:rsidR="00143513" w:rsidRPr="00545A61" w:rsidRDefault="00143513" w:rsidP="00143513">
            <w:pPr>
              <w:rPr>
                <w:rFonts w:ascii="Arial" w:hAnsi="Arial" w:cs="Arial"/>
                <w:sz w:val="20"/>
                <w:szCs w:val="20"/>
              </w:rPr>
            </w:pPr>
            <w:r w:rsidRPr="00545A61">
              <w:rPr>
                <w:rFonts w:ascii="Arial" w:hAnsi="Arial" w:cs="Arial"/>
                <w:sz w:val="20"/>
                <w:szCs w:val="20"/>
              </w:rPr>
              <w:t>"Л.Стоянов-АВТОМАН" ЕООД</w:t>
            </w:r>
          </w:p>
        </w:tc>
        <w:tc>
          <w:tcPr>
            <w:tcW w:w="2340" w:type="dxa"/>
            <w:tcBorders>
              <w:top w:val="nil"/>
              <w:left w:val="nil"/>
              <w:bottom w:val="single" w:sz="4" w:space="0" w:color="auto"/>
              <w:right w:val="single" w:sz="4" w:space="0" w:color="auto"/>
            </w:tcBorders>
            <w:shd w:val="clear" w:color="auto" w:fill="auto"/>
            <w:noWrap/>
          </w:tcPr>
          <w:p w:rsidR="00143513" w:rsidRPr="00545A61" w:rsidRDefault="00143513" w:rsidP="00143513">
            <w:pPr>
              <w:jc w:val="right"/>
              <w:rPr>
                <w:rFonts w:ascii="Arial" w:hAnsi="Arial" w:cs="Arial"/>
                <w:color w:val="000000"/>
                <w:sz w:val="20"/>
                <w:szCs w:val="20"/>
              </w:rPr>
            </w:pPr>
            <w:r w:rsidRPr="00545A61">
              <w:rPr>
                <w:rFonts w:ascii="Arial" w:hAnsi="Arial" w:cs="Arial"/>
                <w:color w:val="000000"/>
                <w:sz w:val="20"/>
                <w:szCs w:val="20"/>
              </w:rPr>
              <w:t>76 910</w:t>
            </w:r>
          </w:p>
        </w:tc>
      </w:tr>
      <w:tr w:rsidR="00143513" w:rsidRPr="00545A61" w:rsidTr="00C4776F">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143513" w:rsidRPr="00545A61" w:rsidRDefault="00143513" w:rsidP="00143513">
            <w:pPr>
              <w:jc w:val="center"/>
              <w:rPr>
                <w:rFonts w:ascii="Arial" w:hAnsi="Arial" w:cs="Arial"/>
                <w:sz w:val="20"/>
                <w:szCs w:val="20"/>
                <w:lang w:val="en-US"/>
              </w:rPr>
            </w:pPr>
            <w:r w:rsidRPr="00545A61">
              <w:rPr>
                <w:rFonts w:ascii="Arial" w:hAnsi="Arial" w:cs="Arial"/>
                <w:sz w:val="20"/>
                <w:szCs w:val="20"/>
                <w:lang w:val="en-US"/>
              </w:rPr>
              <w:t>4</w:t>
            </w:r>
          </w:p>
        </w:tc>
        <w:tc>
          <w:tcPr>
            <w:tcW w:w="4500" w:type="dxa"/>
            <w:tcBorders>
              <w:top w:val="nil"/>
              <w:left w:val="single" w:sz="4" w:space="0" w:color="auto"/>
              <w:bottom w:val="single" w:sz="4" w:space="0" w:color="auto"/>
              <w:right w:val="single" w:sz="4" w:space="0" w:color="auto"/>
            </w:tcBorders>
            <w:shd w:val="clear" w:color="auto" w:fill="auto"/>
            <w:noWrap/>
            <w:vAlign w:val="bottom"/>
          </w:tcPr>
          <w:p w:rsidR="00143513" w:rsidRPr="00545A61" w:rsidRDefault="00143513" w:rsidP="00143513">
            <w:pPr>
              <w:rPr>
                <w:rFonts w:ascii="Arial" w:hAnsi="Arial" w:cs="Arial"/>
                <w:sz w:val="20"/>
                <w:szCs w:val="20"/>
              </w:rPr>
            </w:pPr>
            <w:r w:rsidRPr="00545A61">
              <w:rPr>
                <w:rFonts w:ascii="Arial" w:hAnsi="Arial" w:cs="Arial"/>
                <w:sz w:val="20"/>
                <w:szCs w:val="20"/>
              </w:rPr>
              <w:t>"Холлеман България" ООД</w:t>
            </w:r>
          </w:p>
        </w:tc>
        <w:tc>
          <w:tcPr>
            <w:tcW w:w="2340" w:type="dxa"/>
            <w:tcBorders>
              <w:top w:val="nil"/>
              <w:left w:val="nil"/>
              <w:bottom w:val="single" w:sz="4" w:space="0" w:color="auto"/>
              <w:right w:val="single" w:sz="4" w:space="0" w:color="auto"/>
            </w:tcBorders>
            <w:shd w:val="clear" w:color="auto" w:fill="auto"/>
            <w:noWrap/>
          </w:tcPr>
          <w:p w:rsidR="00143513" w:rsidRPr="00545A61" w:rsidRDefault="00143513" w:rsidP="00143513">
            <w:pPr>
              <w:jc w:val="right"/>
              <w:rPr>
                <w:rFonts w:ascii="Arial" w:hAnsi="Arial" w:cs="Arial"/>
                <w:color w:val="000000"/>
                <w:sz w:val="20"/>
                <w:szCs w:val="20"/>
              </w:rPr>
            </w:pPr>
            <w:r w:rsidRPr="00545A61">
              <w:rPr>
                <w:rFonts w:ascii="Arial" w:hAnsi="Arial" w:cs="Arial"/>
                <w:color w:val="000000"/>
                <w:sz w:val="20"/>
                <w:szCs w:val="20"/>
              </w:rPr>
              <w:t>60 953</w:t>
            </w:r>
          </w:p>
        </w:tc>
      </w:tr>
      <w:tr w:rsidR="00143513" w:rsidRPr="00545A61" w:rsidTr="00C4776F">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143513" w:rsidRPr="00545A61" w:rsidRDefault="00143513" w:rsidP="00143513">
            <w:pPr>
              <w:jc w:val="center"/>
              <w:rPr>
                <w:rFonts w:ascii="Arial" w:hAnsi="Arial" w:cs="Arial"/>
                <w:sz w:val="20"/>
                <w:szCs w:val="20"/>
                <w:lang w:val="en-US"/>
              </w:rPr>
            </w:pPr>
            <w:r w:rsidRPr="00545A61">
              <w:rPr>
                <w:rFonts w:ascii="Arial" w:hAnsi="Arial" w:cs="Arial"/>
                <w:sz w:val="20"/>
                <w:szCs w:val="20"/>
                <w:lang w:val="en-US"/>
              </w:rPr>
              <w:t>5</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3513" w:rsidRPr="00545A61" w:rsidRDefault="00143513" w:rsidP="00143513">
            <w:pPr>
              <w:rPr>
                <w:rFonts w:ascii="Arial" w:hAnsi="Arial" w:cs="Arial"/>
                <w:sz w:val="20"/>
                <w:szCs w:val="20"/>
              </w:rPr>
            </w:pPr>
            <w:r w:rsidRPr="00545A61">
              <w:rPr>
                <w:rFonts w:ascii="Arial" w:hAnsi="Arial" w:cs="Arial"/>
                <w:sz w:val="20"/>
                <w:szCs w:val="20"/>
              </w:rPr>
              <w:t>УДП ИЗМАИЛ-чрез Галакси Пауър</w:t>
            </w:r>
          </w:p>
        </w:tc>
        <w:tc>
          <w:tcPr>
            <w:tcW w:w="2340" w:type="dxa"/>
            <w:tcBorders>
              <w:top w:val="single" w:sz="4" w:space="0" w:color="auto"/>
              <w:left w:val="nil"/>
              <w:bottom w:val="single" w:sz="4" w:space="0" w:color="auto"/>
              <w:right w:val="single" w:sz="4" w:space="0" w:color="auto"/>
            </w:tcBorders>
            <w:shd w:val="clear" w:color="auto" w:fill="auto"/>
            <w:noWrap/>
          </w:tcPr>
          <w:p w:rsidR="00143513" w:rsidRPr="00545A61" w:rsidRDefault="00143513" w:rsidP="00143513">
            <w:pPr>
              <w:jc w:val="right"/>
              <w:rPr>
                <w:rFonts w:ascii="Arial" w:hAnsi="Arial" w:cs="Arial"/>
                <w:color w:val="000000"/>
                <w:sz w:val="20"/>
                <w:szCs w:val="20"/>
              </w:rPr>
            </w:pPr>
            <w:r w:rsidRPr="00545A61">
              <w:rPr>
                <w:rFonts w:ascii="Arial" w:hAnsi="Arial" w:cs="Arial"/>
                <w:color w:val="000000"/>
                <w:sz w:val="20"/>
                <w:szCs w:val="20"/>
              </w:rPr>
              <w:t>18 256</w:t>
            </w:r>
          </w:p>
        </w:tc>
      </w:tr>
      <w:tr w:rsidR="00143513" w:rsidRPr="00545A61" w:rsidTr="00473C3B">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143513" w:rsidRPr="00545A61" w:rsidRDefault="00143513" w:rsidP="00143513">
            <w:pPr>
              <w:jc w:val="center"/>
              <w:rPr>
                <w:rFonts w:ascii="Arial" w:hAnsi="Arial" w:cs="Arial"/>
                <w:sz w:val="20"/>
                <w:szCs w:val="20"/>
                <w:lang w:val="en-US"/>
              </w:rPr>
            </w:pPr>
            <w:r w:rsidRPr="00545A61">
              <w:rPr>
                <w:rFonts w:ascii="Arial" w:hAnsi="Arial" w:cs="Arial"/>
                <w:sz w:val="20"/>
                <w:szCs w:val="20"/>
                <w:lang w:val="en-US"/>
              </w:rPr>
              <w:t>6</w:t>
            </w:r>
          </w:p>
        </w:tc>
        <w:tc>
          <w:tcPr>
            <w:tcW w:w="4500" w:type="dxa"/>
            <w:tcBorders>
              <w:top w:val="nil"/>
              <w:left w:val="single" w:sz="4" w:space="0" w:color="auto"/>
              <w:bottom w:val="single" w:sz="4" w:space="0" w:color="auto"/>
              <w:right w:val="single" w:sz="4" w:space="0" w:color="auto"/>
            </w:tcBorders>
            <w:shd w:val="clear" w:color="auto" w:fill="auto"/>
            <w:noWrap/>
            <w:vAlign w:val="bottom"/>
          </w:tcPr>
          <w:p w:rsidR="00143513" w:rsidRPr="00545A61" w:rsidRDefault="00143513" w:rsidP="00143513">
            <w:pPr>
              <w:rPr>
                <w:rFonts w:ascii="Arial" w:hAnsi="Arial" w:cs="Arial"/>
                <w:sz w:val="20"/>
                <w:szCs w:val="20"/>
              </w:rPr>
            </w:pPr>
            <w:r w:rsidRPr="00545A61">
              <w:rPr>
                <w:rFonts w:ascii="Arial" w:hAnsi="Arial" w:cs="Arial"/>
                <w:sz w:val="20"/>
                <w:szCs w:val="20"/>
              </w:rPr>
              <w:t>"Каолин" ЕАД</w:t>
            </w:r>
          </w:p>
        </w:tc>
        <w:tc>
          <w:tcPr>
            <w:tcW w:w="2340" w:type="dxa"/>
            <w:tcBorders>
              <w:top w:val="nil"/>
              <w:left w:val="nil"/>
              <w:bottom w:val="single" w:sz="4" w:space="0" w:color="auto"/>
              <w:right w:val="single" w:sz="4" w:space="0" w:color="auto"/>
            </w:tcBorders>
            <w:shd w:val="clear" w:color="auto" w:fill="auto"/>
            <w:noWrap/>
          </w:tcPr>
          <w:p w:rsidR="00143513" w:rsidRPr="00545A61" w:rsidRDefault="00143513" w:rsidP="00143513">
            <w:pPr>
              <w:jc w:val="right"/>
              <w:rPr>
                <w:rFonts w:ascii="Arial" w:hAnsi="Arial" w:cs="Arial"/>
                <w:color w:val="000000"/>
                <w:sz w:val="20"/>
                <w:szCs w:val="20"/>
              </w:rPr>
            </w:pPr>
            <w:r w:rsidRPr="00545A61">
              <w:rPr>
                <w:rFonts w:ascii="Arial" w:hAnsi="Arial" w:cs="Arial"/>
                <w:color w:val="000000"/>
                <w:sz w:val="20"/>
                <w:szCs w:val="20"/>
              </w:rPr>
              <w:t>23 906</w:t>
            </w:r>
          </w:p>
        </w:tc>
      </w:tr>
      <w:tr w:rsidR="00143513" w:rsidRPr="00545A61" w:rsidTr="00473C3B">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143513" w:rsidRPr="00545A61" w:rsidRDefault="00143513" w:rsidP="00143513">
            <w:pPr>
              <w:jc w:val="center"/>
              <w:rPr>
                <w:rFonts w:ascii="Arial" w:hAnsi="Arial" w:cs="Arial"/>
                <w:sz w:val="20"/>
                <w:szCs w:val="20"/>
                <w:lang w:val="en-US"/>
              </w:rPr>
            </w:pPr>
            <w:r w:rsidRPr="00545A61">
              <w:rPr>
                <w:rFonts w:ascii="Arial" w:hAnsi="Arial" w:cs="Arial"/>
                <w:sz w:val="20"/>
                <w:szCs w:val="20"/>
                <w:lang w:val="en-US"/>
              </w:rPr>
              <w:t>7</w:t>
            </w:r>
          </w:p>
        </w:tc>
        <w:tc>
          <w:tcPr>
            <w:tcW w:w="4500" w:type="dxa"/>
            <w:tcBorders>
              <w:top w:val="nil"/>
              <w:left w:val="single" w:sz="4" w:space="0" w:color="auto"/>
              <w:bottom w:val="single" w:sz="4" w:space="0" w:color="auto"/>
              <w:right w:val="single" w:sz="4" w:space="0" w:color="auto"/>
            </w:tcBorders>
            <w:shd w:val="clear" w:color="auto" w:fill="auto"/>
            <w:noWrap/>
            <w:vAlign w:val="bottom"/>
          </w:tcPr>
          <w:p w:rsidR="00143513" w:rsidRPr="00545A61" w:rsidRDefault="00143513" w:rsidP="00143513">
            <w:pPr>
              <w:rPr>
                <w:rFonts w:ascii="Arial" w:hAnsi="Arial" w:cs="Arial"/>
                <w:sz w:val="20"/>
                <w:szCs w:val="20"/>
              </w:rPr>
            </w:pPr>
            <w:r w:rsidRPr="00545A61">
              <w:rPr>
                <w:rFonts w:ascii="Arial" w:hAnsi="Arial" w:cs="Arial"/>
                <w:sz w:val="20"/>
                <w:szCs w:val="20"/>
              </w:rPr>
              <w:t>"Никтранс" ЕООД</w:t>
            </w:r>
          </w:p>
        </w:tc>
        <w:tc>
          <w:tcPr>
            <w:tcW w:w="2340" w:type="dxa"/>
            <w:tcBorders>
              <w:top w:val="nil"/>
              <w:left w:val="nil"/>
              <w:bottom w:val="single" w:sz="4" w:space="0" w:color="auto"/>
              <w:right w:val="single" w:sz="4" w:space="0" w:color="auto"/>
            </w:tcBorders>
            <w:shd w:val="clear" w:color="auto" w:fill="auto"/>
            <w:noWrap/>
          </w:tcPr>
          <w:p w:rsidR="00143513" w:rsidRPr="00545A61" w:rsidRDefault="00143513" w:rsidP="00143513">
            <w:pPr>
              <w:jc w:val="right"/>
              <w:rPr>
                <w:rFonts w:ascii="Arial" w:hAnsi="Arial" w:cs="Arial"/>
                <w:color w:val="000000"/>
                <w:sz w:val="20"/>
                <w:szCs w:val="20"/>
              </w:rPr>
            </w:pPr>
            <w:r w:rsidRPr="00545A61">
              <w:rPr>
                <w:rFonts w:ascii="Arial" w:hAnsi="Arial" w:cs="Arial"/>
                <w:color w:val="000000"/>
                <w:sz w:val="20"/>
                <w:szCs w:val="20"/>
              </w:rPr>
              <w:t>14 723</w:t>
            </w:r>
          </w:p>
        </w:tc>
      </w:tr>
      <w:tr w:rsidR="00143513" w:rsidRPr="00545A61" w:rsidTr="00473C3B">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143513" w:rsidRPr="00545A61" w:rsidRDefault="00143513" w:rsidP="00143513">
            <w:pPr>
              <w:jc w:val="center"/>
              <w:rPr>
                <w:rFonts w:ascii="Arial" w:hAnsi="Arial" w:cs="Arial"/>
                <w:sz w:val="20"/>
                <w:szCs w:val="20"/>
                <w:lang w:val="en-US"/>
              </w:rPr>
            </w:pPr>
            <w:r w:rsidRPr="00545A61">
              <w:rPr>
                <w:rFonts w:ascii="Arial" w:hAnsi="Arial" w:cs="Arial"/>
                <w:sz w:val="20"/>
                <w:szCs w:val="20"/>
                <w:lang w:val="en-US"/>
              </w:rPr>
              <w:t>8</w:t>
            </w:r>
          </w:p>
        </w:tc>
        <w:tc>
          <w:tcPr>
            <w:tcW w:w="4500" w:type="dxa"/>
            <w:tcBorders>
              <w:top w:val="nil"/>
              <w:left w:val="single" w:sz="4" w:space="0" w:color="auto"/>
              <w:bottom w:val="single" w:sz="4" w:space="0" w:color="auto"/>
              <w:right w:val="single" w:sz="4" w:space="0" w:color="auto"/>
            </w:tcBorders>
            <w:shd w:val="clear" w:color="auto" w:fill="auto"/>
            <w:noWrap/>
            <w:vAlign w:val="bottom"/>
          </w:tcPr>
          <w:p w:rsidR="00143513" w:rsidRPr="00545A61" w:rsidRDefault="00143513" w:rsidP="00143513">
            <w:pPr>
              <w:rPr>
                <w:rFonts w:ascii="Arial" w:hAnsi="Arial" w:cs="Arial"/>
                <w:sz w:val="20"/>
                <w:szCs w:val="20"/>
              </w:rPr>
            </w:pPr>
            <w:r w:rsidRPr="00545A61">
              <w:rPr>
                <w:rFonts w:ascii="Arial" w:hAnsi="Arial" w:cs="Arial"/>
                <w:sz w:val="20"/>
                <w:szCs w:val="20"/>
              </w:rPr>
              <w:t>"Стийлимпекс" ООД</w:t>
            </w:r>
          </w:p>
        </w:tc>
        <w:tc>
          <w:tcPr>
            <w:tcW w:w="2340" w:type="dxa"/>
            <w:tcBorders>
              <w:top w:val="nil"/>
              <w:left w:val="nil"/>
              <w:bottom w:val="single" w:sz="4" w:space="0" w:color="auto"/>
              <w:right w:val="single" w:sz="4" w:space="0" w:color="auto"/>
            </w:tcBorders>
            <w:shd w:val="clear" w:color="auto" w:fill="auto"/>
            <w:noWrap/>
          </w:tcPr>
          <w:p w:rsidR="00143513" w:rsidRPr="00545A61" w:rsidRDefault="00143513" w:rsidP="00143513">
            <w:pPr>
              <w:jc w:val="right"/>
              <w:rPr>
                <w:rFonts w:ascii="Arial" w:hAnsi="Arial" w:cs="Arial"/>
                <w:color w:val="000000"/>
                <w:sz w:val="20"/>
                <w:szCs w:val="20"/>
              </w:rPr>
            </w:pPr>
            <w:r w:rsidRPr="00545A61">
              <w:rPr>
                <w:rFonts w:ascii="Arial" w:hAnsi="Arial" w:cs="Arial"/>
                <w:color w:val="000000"/>
                <w:sz w:val="20"/>
                <w:szCs w:val="20"/>
              </w:rPr>
              <w:t>14 437</w:t>
            </w:r>
          </w:p>
        </w:tc>
      </w:tr>
      <w:tr w:rsidR="00143513" w:rsidRPr="00545A61" w:rsidTr="00473C3B">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143513" w:rsidRPr="00545A61" w:rsidRDefault="00143513" w:rsidP="00143513">
            <w:pPr>
              <w:jc w:val="center"/>
              <w:rPr>
                <w:rFonts w:ascii="Arial" w:hAnsi="Arial" w:cs="Arial"/>
                <w:sz w:val="20"/>
                <w:szCs w:val="20"/>
                <w:lang w:val="ru-RU"/>
              </w:rPr>
            </w:pPr>
            <w:r w:rsidRPr="00545A61">
              <w:rPr>
                <w:rFonts w:ascii="Arial" w:hAnsi="Arial" w:cs="Arial"/>
                <w:sz w:val="20"/>
                <w:szCs w:val="20"/>
                <w:lang w:val="ru-RU"/>
              </w:rPr>
              <w:t>9</w:t>
            </w:r>
          </w:p>
        </w:tc>
        <w:tc>
          <w:tcPr>
            <w:tcW w:w="4500" w:type="dxa"/>
            <w:tcBorders>
              <w:top w:val="nil"/>
              <w:left w:val="single" w:sz="4" w:space="0" w:color="auto"/>
              <w:bottom w:val="single" w:sz="4" w:space="0" w:color="auto"/>
              <w:right w:val="single" w:sz="4" w:space="0" w:color="auto"/>
            </w:tcBorders>
            <w:shd w:val="clear" w:color="auto" w:fill="auto"/>
            <w:noWrap/>
            <w:vAlign w:val="bottom"/>
          </w:tcPr>
          <w:p w:rsidR="00143513" w:rsidRPr="00545A61" w:rsidRDefault="00143513" w:rsidP="00143513">
            <w:pPr>
              <w:rPr>
                <w:rFonts w:ascii="Arial" w:hAnsi="Arial" w:cs="Arial"/>
                <w:sz w:val="20"/>
                <w:szCs w:val="20"/>
              </w:rPr>
            </w:pPr>
            <w:r w:rsidRPr="00545A61">
              <w:rPr>
                <w:rFonts w:ascii="Arial" w:hAnsi="Arial" w:cs="Arial"/>
                <w:sz w:val="20"/>
                <w:szCs w:val="20"/>
              </w:rPr>
              <w:t>"Булвикс"АД</w:t>
            </w:r>
          </w:p>
        </w:tc>
        <w:tc>
          <w:tcPr>
            <w:tcW w:w="2340" w:type="dxa"/>
            <w:tcBorders>
              <w:top w:val="nil"/>
              <w:left w:val="nil"/>
              <w:bottom w:val="single" w:sz="4" w:space="0" w:color="auto"/>
              <w:right w:val="single" w:sz="4" w:space="0" w:color="auto"/>
            </w:tcBorders>
            <w:shd w:val="clear" w:color="auto" w:fill="auto"/>
            <w:noWrap/>
          </w:tcPr>
          <w:p w:rsidR="00143513" w:rsidRPr="00545A61" w:rsidRDefault="00143513" w:rsidP="00143513">
            <w:pPr>
              <w:jc w:val="right"/>
              <w:rPr>
                <w:rFonts w:ascii="Arial" w:hAnsi="Arial" w:cs="Arial"/>
                <w:color w:val="000000"/>
                <w:sz w:val="20"/>
                <w:szCs w:val="20"/>
              </w:rPr>
            </w:pPr>
            <w:r w:rsidRPr="00545A61">
              <w:rPr>
                <w:rFonts w:ascii="Arial" w:hAnsi="Arial" w:cs="Arial"/>
                <w:color w:val="000000"/>
                <w:sz w:val="20"/>
                <w:szCs w:val="20"/>
              </w:rPr>
              <w:t>14 277</w:t>
            </w:r>
          </w:p>
        </w:tc>
      </w:tr>
      <w:tr w:rsidR="00391DB4" w:rsidRPr="00545A61">
        <w:trPr>
          <w:trHeight w:val="300"/>
        </w:trPr>
        <w:tc>
          <w:tcPr>
            <w:tcW w:w="720" w:type="dxa"/>
            <w:tcBorders>
              <w:top w:val="single" w:sz="4" w:space="0" w:color="auto"/>
              <w:left w:val="single" w:sz="4" w:space="0" w:color="auto"/>
              <w:bottom w:val="single" w:sz="4" w:space="0" w:color="auto"/>
              <w:right w:val="single" w:sz="4" w:space="0" w:color="auto"/>
            </w:tcBorders>
          </w:tcPr>
          <w:p w:rsidR="00391DB4" w:rsidRPr="00545A61" w:rsidRDefault="00391DB4" w:rsidP="00391DB4">
            <w:pPr>
              <w:jc w:val="center"/>
              <w:rPr>
                <w:rFonts w:ascii="Arial" w:hAnsi="Arial" w:cs="Arial"/>
                <w:sz w:val="20"/>
                <w:szCs w:val="20"/>
                <w:lang w:val="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1DB4" w:rsidRPr="00545A61" w:rsidRDefault="00391DB4" w:rsidP="00391DB4">
            <w:pPr>
              <w:rPr>
                <w:rFonts w:ascii="Arial" w:hAnsi="Arial" w:cs="Arial"/>
                <w:sz w:val="20"/>
                <w:szCs w:val="20"/>
              </w:rPr>
            </w:pPr>
            <w:r w:rsidRPr="00545A61">
              <w:rPr>
                <w:rFonts w:ascii="Arial" w:hAnsi="Arial" w:cs="Arial"/>
                <w:b/>
                <w:bCs/>
                <w:sz w:val="20"/>
                <w:szCs w:val="20"/>
              </w:rPr>
              <w:t>Обща сума ПК</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1DB4" w:rsidRPr="00545A61" w:rsidRDefault="00143513" w:rsidP="005A762D">
            <w:pPr>
              <w:jc w:val="right"/>
              <w:rPr>
                <w:rFonts w:ascii="Arial" w:hAnsi="Arial" w:cs="Arial"/>
                <w:sz w:val="20"/>
                <w:szCs w:val="20"/>
              </w:rPr>
            </w:pPr>
            <w:r w:rsidRPr="00545A61">
              <w:rPr>
                <w:rFonts w:ascii="Arial" w:hAnsi="Arial" w:cs="Arial"/>
                <w:b/>
                <w:bCs/>
                <w:sz w:val="20"/>
                <w:szCs w:val="20"/>
              </w:rPr>
              <w:t>607 894</w:t>
            </w:r>
          </w:p>
        </w:tc>
      </w:tr>
    </w:tbl>
    <w:p w:rsidR="007006B6" w:rsidRPr="002B683F" w:rsidRDefault="001E1227" w:rsidP="005251BB">
      <w:pPr>
        <w:pStyle w:val="Heading3"/>
        <w:spacing w:before="120" w:after="120"/>
        <w:ind w:left="720"/>
        <w:jc w:val="left"/>
        <w:rPr>
          <w:rFonts w:ascii="Times New Roman" w:hAnsi="Times New Roman"/>
        </w:rPr>
      </w:pPr>
      <w:bookmarkStart w:id="68" w:name="_Toc288478122"/>
      <w:bookmarkStart w:id="69" w:name="_Toc40777306"/>
      <w:r w:rsidRPr="002B683F">
        <w:rPr>
          <w:rFonts w:ascii="Times New Roman" w:hAnsi="Times New Roman"/>
        </w:rPr>
        <w:t xml:space="preserve">6.3. </w:t>
      </w:r>
      <w:r w:rsidR="00B73F29" w:rsidRPr="002B683F">
        <w:rPr>
          <w:rFonts w:ascii="Times New Roman" w:hAnsi="Times New Roman"/>
        </w:rPr>
        <w:t>Пасив</w:t>
      </w:r>
      <w:bookmarkEnd w:id="68"/>
      <w:bookmarkEnd w:id="69"/>
    </w:p>
    <w:p w:rsidR="00E40745" w:rsidRDefault="00E40745" w:rsidP="002D0952">
      <w:pPr>
        <w:pStyle w:val="BodyText"/>
        <w:ind w:firstLine="720"/>
      </w:pPr>
      <w:r w:rsidRPr="002B683F">
        <w:rPr>
          <w:b/>
        </w:rPr>
        <w:t>Основният капитал</w:t>
      </w:r>
      <w:r w:rsidRPr="002B683F">
        <w:rPr>
          <w:bCs/>
        </w:rPr>
        <w:t xml:space="preserve"> на дружеството </w:t>
      </w:r>
      <w:r w:rsidRPr="002B683F">
        <w:t>към 31.12.201</w:t>
      </w:r>
      <w:r w:rsidR="00856AB5" w:rsidRPr="002B683F">
        <w:t>9</w:t>
      </w:r>
      <w:r w:rsidRPr="002B683F">
        <w:t xml:space="preserve"> г. е в размер на 2 662 хил.</w:t>
      </w:r>
      <w:r w:rsidR="00BB77A4" w:rsidRPr="002B683F">
        <w:t xml:space="preserve"> </w:t>
      </w:r>
      <w:r w:rsidRPr="002B683F">
        <w:t>лв. (без изменение спрямо 20</w:t>
      </w:r>
      <w:r w:rsidR="006A543D" w:rsidRPr="002B683F">
        <w:t>1</w:t>
      </w:r>
      <w:r w:rsidR="00143513" w:rsidRPr="002B683F">
        <w:t>8</w:t>
      </w:r>
      <w:r w:rsidR="00136E64" w:rsidRPr="002B683F">
        <w:t xml:space="preserve"> </w:t>
      </w:r>
      <w:r w:rsidRPr="002B683F">
        <w:t xml:space="preserve">г.). </w:t>
      </w:r>
    </w:p>
    <w:p w:rsidR="00927262" w:rsidRPr="002B683F" w:rsidRDefault="00743555" w:rsidP="00815E77">
      <w:pPr>
        <w:keepNext/>
        <w:widowControl w:val="0"/>
        <w:ind w:firstLine="720"/>
        <w:jc w:val="both"/>
      </w:pPr>
      <w:r w:rsidRPr="002B683F">
        <w:t>Капиталовата структура на “Пристанищен комплекс–Русе”</w:t>
      </w:r>
      <w:r w:rsidR="00711C9D" w:rsidRPr="002B683F">
        <w:t xml:space="preserve"> </w:t>
      </w:r>
      <w:r w:rsidRPr="002B683F">
        <w:t xml:space="preserve">ЕАД </w:t>
      </w:r>
      <w:r w:rsidR="001D0913" w:rsidRPr="002B683F">
        <w:t>към 31.12.</w:t>
      </w:r>
      <w:r w:rsidRPr="002B683F">
        <w:t>20</w:t>
      </w:r>
      <w:r w:rsidR="00024927" w:rsidRPr="002B683F">
        <w:t>1</w:t>
      </w:r>
      <w:r w:rsidR="00856AB5" w:rsidRPr="002B683F">
        <w:t xml:space="preserve">9 </w:t>
      </w:r>
      <w:r w:rsidRPr="002B683F">
        <w:t>г</w:t>
      </w:r>
      <w:r w:rsidR="001E1227" w:rsidRPr="002B683F">
        <w:t>.</w:t>
      </w:r>
      <w:r w:rsidRPr="002B683F">
        <w:t xml:space="preserve"> е следната:</w:t>
      </w:r>
    </w:p>
    <w:bookmarkStart w:id="70" w:name="_MON_1360411662"/>
    <w:bookmarkStart w:id="71" w:name="_MON_1360411673"/>
    <w:bookmarkStart w:id="72" w:name="_MON_1360411698"/>
    <w:bookmarkStart w:id="73" w:name="_MON_1360411759"/>
    <w:bookmarkStart w:id="74" w:name="_MON_1360411786"/>
    <w:bookmarkStart w:id="75" w:name="_MON_1360411828"/>
    <w:bookmarkStart w:id="76" w:name="_MON_1360411857"/>
    <w:bookmarkStart w:id="77" w:name="_MON_1360411885"/>
    <w:bookmarkStart w:id="78" w:name="_MON_1360411894"/>
    <w:bookmarkStart w:id="79" w:name="_MON_1360411918"/>
    <w:bookmarkStart w:id="80" w:name="_MON_1360412114"/>
    <w:bookmarkStart w:id="81" w:name="_MON_1360412418"/>
    <w:bookmarkStart w:id="82" w:name="_MON_1361013356"/>
    <w:bookmarkStart w:id="83" w:name="_MON_1361270596"/>
    <w:bookmarkStart w:id="84" w:name="_MON_1361281303"/>
    <w:bookmarkStart w:id="85" w:name="_MON_1361781196"/>
    <w:bookmarkStart w:id="86" w:name="_MON_1361871107"/>
    <w:bookmarkStart w:id="87" w:name="_MON_1361871139"/>
    <w:bookmarkStart w:id="88" w:name="_MON_1361871160"/>
    <w:bookmarkStart w:id="89" w:name="_MON_1361871186"/>
    <w:bookmarkStart w:id="90" w:name="_MON_1390286928"/>
    <w:bookmarkStart w:id="91" w:name="_MON_1390287202"/>
    <w:bookmarkStart w:id="92" w:name="_MON_1390637599"/>
    <w:bookmarkStart w:id="93" w:name="_MON_1390638746"/>
    <w:bookmarkStart w:id="94" w:name="_MON_1390639122"/>
    <w:bookmarkStart w:id="95" w:name="_MON_1391256171"/>
    <w:bookmarkStart w:id="96" w:name="_MON_1391422731"/>
    <w:bookmarkStart w:id="97" w:name="_MON_1392189655"/>
    <w:bookmarkStart w:id="98" w:name="_MON_1421045163"/>
    <w:bookmarkStart w:id="99" w:name="_MON_1421235778"/>
    <w:bookmarkStart w:id="100" w:name="_MON_1421743675"/>
    <w:bookmarkStart w:id="101" w:name="_MON_1421743981"/>
    <w:bookmarkStart w:id="102" w:name="_MON_1421744528"/>
    <w:bookmarkStart w:id="103" w:name="_MON_1329825784"/>
    <w:bookmarkStart w:id="104" w:name="_MON_1358755226"/>
    <w:bookmarkStart w:id="105" w:name="_MON_1358760673"/>
    <w:bookmarkStart w:id="106" w:name="_MON_1358838780"/>
    <w:bookmarkStart w:id="107" w:name="_MON_1359977982"/>
    <w:bookmarkStart w:id="108" w:name="_MON_1359978118"/>
    <w:bookmarkStart w:id="109" w:name="_MON_1360410981"/>
    <w:bookmarkStart w:id="110" w:name="_MON_1360411272"/>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Start w:id="111" w:name="_MON_1360411318"/>
    <w:bookmarkEnd w:id="111"/>
    <w:p w:rsidR="00743555" w:rsidRPr="002B683F" w:rsidRDefault="00545A61" w:rsidP="00381343">
      <w:pPr>
        <w:keepNext/>
        <w:widowControl w:val="0"/>
        <w:jc w:val="center"/>
      </w:pPr>
      <w:r w:rsidRPr="002B683F">
        <w:rPr>
          <w:sz w:val="26"/>
          <w:szCs w:val="26"/>
        </w:rPr>
        <w:object w:dxaOrig="9435" w:dyaOrig="6930">
          <v:shape id="_x0000_i1027" type="#_x0000_t75" style="width:482.25pt;height:381.75pt" o:ole="">
            <v:imagedata r:id="rId21" o:title=""/>
          </v:shape>
          <o:OLEObject Type="Embed" ProgID="Excel.Sheet.8" ShapeID="_x0000_i1027" DrawAspect="Content" ObjectID="_1654343069" r:id="rId22"/>
        </w:object>
      </w:r>
    </w:p>
    <w:p w:rsidR="00743555" w:rsidRPr="002B683F" w:rsidRDefault="00743555" w:rsidP="00743555">
      <w:pPr>
        <w:rPr>
          <w:lang w:val="en-US"/>
        </w:rPr>
      </w:pPr>
    </w:p>
    <w:p w:rsidR="00811E0E" w:rsidRPr="002B683F" w:rsidRDefault="00430B05" w:rsidP="00811E0E">
      <w:pPr>
        <w:spacing w:after="120"/>
        <w:ind w:firstLine="706"/>
        <w:jc w:val="both"/>
        <w:rPr>
          <w:rFonts w:eastAsia="Times New Roman"/>
          <w:lang w:val="en-US" w:eastAsia="bg-BG"/>
        </w:rPr>
      </w:pPr>
      <w:bookmarkStart w:id="112" w:name="_Toc288478123"/>
      <w:r w:rsidRPr="002B683F">
        <w:rPr>
          <w:i/>
        </w:rPr>
        <w:t>Краткосрочните задължения</w:t>
      </w:r>
      <w:r w:rsidRPr="002B683F">
        <w:t xml:space="preserve"> на дружеството са текущи и се погасяват в предвидените срокове. Към края на отчетния период те възлизат на 2,8 % от стойността на Пасива и 100 % от Краткосрочните пасиви в баланса на дружеството. В сравнение с края на 2018 г. краткосрочните задължения на дружеството намаляват с -12 хил.</w:t>
      </w:r>
      <w:r w:rsidR="00BB77A4" w:rsidRPr="002B683F">
        <w:t xml:space="preserve"> </w:t>
      </w:r>
      <w:r w:rsidRPr="002B683F">
        <w:t xml:space="preserve">лв. (-2,4 %). Като това се </w:t>
      </w:r>
      <w:r w:rsidRPr="002B683F">
        <w:lastRenderedPageBreak/>
        <w:t xml:space="preserve">дължи най-вече на редуцираните </w:t>
      </w:r>
      <w:r w:rsidRPr="002B683F">
        <w:rPr>
          <w:i/>
        </w:rPr>
        <w:t>задълженията към доставчици</w:t>
      </w:r>
      <w:r w:rsidRPr="002B683F">
        <w:t xml:space="preserve"> към края на годината, които намаляват със -19 хил.</w:t>
      </w:r>
      <w:r w:rsidR="00BB77A4" w:rsidRPr="002B683F">
        <w:t xml:space="preserve"> </w:t>
      </w:r>
      <w:r w:rsidRPr="002B683F">
        <w:t>лв. спрямо края на 2018 г.</w:t>
      </w:r>
      <w:r w:rsidRPr="002B683F">
        <w:rPr>
          <w:szCs w:val="26"/>
        </w:rPr>
        <w:t xml:space="preserve"> </w:t>
      </w:r>
      <w:r w:rsidRPr="002B683F">
        <w:rPr>
          <w:i/>
        </w:rPr>
        <w:t>Задълженията към персонала</w:t>
      </w:r>
      <w:r w:rsidRPr="002B683F">
        <w:t xml:space="preserve"> се увеличават с 15 хил. лв. и са съобразени с нормативните изисквания, а </w:t>
      </w:r>
      <w:r w:rsidRPr="002B683F">
        <w:rPr>
          <w:i/>
        </w:rPr>
        <w:t xml:space="preserve">задълженията към социалното осигуряване </w:t>
      </w:r>
      <w:r w:rsidRPr="002B683F">
        <w:t>намаляват с -8 хил.</w:t>
      </w:r>
      <w:r w:rsidR="00BB77A4" w:rsidRPr="002B683F">
        <w:t xml:space="preserve"> </w:t>
      </w:r>
      <w:r w:rsidRPr="002B683F">
        <w:t>лв. спрямо 31.12.2018</w:t>
      </w:r>
      <w:r w:rsidRPr="002B683F">
        <w:rPr>
          <w:lang w:val="en-US"/>
        </w:rPr>
        <w:t xml:space="preserve"> </w:t>
      </w:r>
      <w:r w:rsidRPr="002B683F">
        <w:t xml:space="preserve">г. </w:t>
      </w:r>
      <w:r w:rsidR="00BF2022" w:rsidRPr="002B683F">
        <w:rPr>
          <w:szCs w:val="26"/>
        </w:rPr>
        <w:t>Задълженията</w:t>
      </w:r>
      <w:r w:rsidR="00DE2C19" w:rsidRPr="002B683F">
        <w:rPr>
          <w:szCs w:val="26"/>
        </w:rPr>
        <w:t xml:space="preserve"> към бюджета намалява</w:t>
      </w:r>
      <w:r w:rsidR="00BF2022" w:rsidRPr="002B683F">
        <w:rPr>
          <w:szCs w:val="26"/>
        </w:rPr>
        <w:t>т</w:t>
      </w:r>
      <w:r w:rsidR="00DE2C19" w:rsidRPr="002B683F">
        <w:rPr>
          <w:szCs w:val="26"/>
        </w:rPr>
        <w:t xml:space="preserve"> с -16 хил.</w:t>
      </w:r>
      <w:r w:rsidR="00BB77A4" w:rsidRPr="002B683F">
        <w:rPr>
          <w:szCs w:val="26"/>
        </w:rPr>
        <w:t xml:space="preserve"> </w:t>
      </w:r>
      <w:r w:rsidR="00DE2C19" w:rsidRPr="002B683F">
        <w:rPr>
          <w:szCs w:val="26"/>
        </w:rPr>
        <w:t>лв., а други краткосрочни задължения се увеличават с 16 хил.</w:t>
      </w:r>
      <w:r w:rsidR="00BB77A4" w:rsidRPr="002B683F">
        <w:rPr>
          <w:szCs w:val="26"/>
        </w:rPr>
        <w:t xml:space="preserve"> </w:t>
      </w:r>
      <w:r w:rsidR="00DE2C19" w:rsidRPr="002B683F">
        <w:rPr>
          <w:szCs w:val="26"/>
        </w:rPr>
        <w:t>лв</w:t>
      </w:r>
      <w:r w:rsidR="00DE2C19" w:rsidRPr="002B683F">
        <w:rPr>
          <w:rFonts w:eastAsia="Times New Roman"/>
          <w:lang w:eastAsia="bg-BG"/>
        </w:rPr>
        <w:t>.</w:t>
      </w:r>
      <w:r w:rsidR="00DE2C19" w:rsidRPr="002B683F">
        <w:rPr>
          <w:szCs w:val="26"/>
        </w:rPr>
        <w:t xml:space="preserve"> спрямо края на 2018г.  </w:t>
      </w:r>
      <w:r w:rsidRPr="002B683F">
        <w:t xml:space="preserve">Дружеството внася в определените срокове дължимите данъци по ЗКПО, ЗДДС, данъците и таксите по ЗМДТ, данъците по ЗДДФЛ, вноските за социално и здравно осигуряване, изготвя и представя в необходимите срокове справки-декларации съгласно действащото законодателство. </w:t>
      </w:r>
    </w:p>
    <w:p w:rsidR="00B9618A" w:rsidRPr="002B683F" w:rsidRDefault="00711C9D" w:rsidP="000F6A6A">
      <w:pPr>
        <w:pStyle w:val="Heading3"/>
        <w:spacing w:before="240" w:after="120"/>
        <w:ind w:left="720"/>
        <w:jc w:val="left"/>
        <w:rPr>
          <w:rFonts w:ascii="Times New Roman" w:hAnsi="Times New Roman"/>
        </w:rPr>
      </w:pPr>
      <w:bookmarkStart w:id="113" w:name="_Toc40777307"/>
      <w:r w:rsidRPr="002B683F">
        <w:rPr>
          <w:rFonts w:ascii="Times New Roman" w:hAnsi="Times New Roman"/>
        </w:rPr>
        <w:t xml:space="preserve">6.4. </w:t>
      </w:r>
      <w:r w:rsidR="00B9618A" w:rsidRPr="002B683F">
        <w:rPr>
          <w:rFonts w:ascii="Times New Roman" w:hAnsi="Times New Roman"/>
        </w:rPr>
        <w:t>По-големи задължения към клиенти и доставчици</w:t>
      </w:r>
      <w:bookmarkEnd w:id="112"/>
      <w:bookmarkEnd w:id="113"/>
    </w:p>
    <w:p w:rsidR="00FB51BF" w:rsidRDefault="006F77AE" w:rsidP="001D1196">
      <w:pPr>
        <w:spacing w:after="240"/>
        <w:ind w:firstLine="709"/>
        <w:jc w:val="both"/>
        <w:rPr>
          <w:i/>
          <w:u w:val="single"/>
        </w:rPr>
      </w:pPr>
      <w:r w:rsidRPr="002B683F">
        <w:rPr>
          <w:i/>
          <w:u w:val="single"/>
        </w:rPr>
        <w:t xml:space="preserve"> </w:t>
      </w:r>
      <w:r w:rsidR="00256E68" w:rsidRPr="002B683F">
        <w:rPr>
          <w:i/>
          <w:u w:val="single"/>
        </w:rPr>
        <w:t>За</w:t>
      </w:r>
      <w:r w:rsidR="00645CEE" w:rsidRPr="002B683F">
        <w:rPr>
          <w:i/>
          <w:u w:val="single"/>
        </w:rPr>
        <w:t xml:space="preserve"> 20</w:t>
      </w:r>
      <w:r w:rsidR="005A1ECC" w:rsidRPr="002B683F">
        <w:rPr>
          <w:i/>
          <w:u w:val="single"/>
        </w:rPr>
        <w:t>1</w:t>
      </w:r>
      <w:r w:rsidR="00856AB5" w:rsidRPr="002B683F">
        <w:rPr>
          <w:i/>
          <w:u w:val="single"/>
        </w:rPr>
        <w:t xml:space="preserve">9 </w:t>
      </w:r>
      <w:r w:rsidR="00645CEE" w:rsidRPr="002B683F">
        <w:rPr>
          <w:i/>
          <w:u w:val="single"/>
        </w:rPr>
        <w:t xml:space="preserve">г. </w:t>
      </w:r>
      <w:r w:rsidR="00D66326" w:rsidRPr="002B683F">
        <w:rPr>
          <w:i/>
          <w:u w:val="single"/>
        </w:rPr>
        <w:t xml:space="preserve">“Пристанищен комплекс – Русе” ЕАД </w:t>
      </w:r>
      <w:r w:rsidR="004B7CB5" w:rsidRPr="002B683F">
        <w:rPr>
          <w:b/>
          <w:i/>
          <w:u w:val="single"/>
        </w:rPr>
        <w:t>няма просрочени плащания</w:t>
      </w:r>
      <w:r w:rsidR="004B7CB5" w:rsidRPr="002B683F">
        <w:rPr>
          <w:i/>
          <w:u w:val="single"/>
        </w:rPr>
        <w:t xml:space="preserve"> към държавата, персонала или доставчиците си и погасява задълженията си в договорените или нормативно определени срокове.</w:t>
      </w:r>
    </w:p>
    <w:p w:rsidR="00545A61" w:rsidRPr="002B683F" w:rsidRDefault="00545A61" w:rsidP="001D1196">
      <w:pPr>
        <w:spacing w:after="240"/>
        <w:ind w:firstLine="709"/>
        <w:jc w:val="both"/>
        <w:rPr>
          <w:i/>
          <w:u w:val="single"/>
        </w:rPr>
      </w:pPr>
    </w:p>
    <w:tbl>
      <w:tblPr>
        <w:tblW w:w="9757" w:type="dxa"/>
        <w:jc w:val="center"/>
        <w:tblCellMar>
          <w:left w:w="70" w:type="dxa"/>
          <w:right w:w="70" w:type="dxa"/>
        </w:tblCellMar>
        <w:tblLook w:val="0000" w:firstRow="0" w:lastRow="0" w:firstColumn="0" w:lastColumn="0" w:noHBand="0" w:noVBand="0"/>
      </w:tblPr>
      <w:tblGrid>
        <w:gridCol w:w="389"/>
        <w:gridCol w:w="3590"/>
        <w:gridCol w:w="1260"/>
        <w:gridCol w:w="1080"/>
        <w:gridCol w:w="1080"/>
        <w:gridCol w:w="971"/>
        <w:gridCol w:w="1387"/>
      </w:tblGrid>
      <w:tr w:rsidR="00E7571B" w:rsidRPr="002B683F">
        <w:trPr>
          <w:trHeight w:val="283"/>
          <w:jc w:val="center"/>
        </w:trPr>
        <w:tc>
          <w:tcPr>
            <w:tcW w:w="389"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tcPr>
          <w:p w:rsidR="00E7571B" w:rsidRPr="002B683F" w:rsidRDefault="00E7571B" w:rsidP="00E7571B">
            <w:pPr>
              <w:jc w:val="center"/>
              <w:rPr>
                <w:rFonts w:ascii="Arial" w:hAnsi="Arial" w:cs="Arial"/>
                <w:sz w:val="20"/>
                <w:szCs w:val="20"/>
                <w:lang w:eastAsia="bg-BG"/>
              </w:rPr>
            </w:pPr>
            <w:r w:rsidRPr="002B683F">
              <w:rPr>
                <w:rFonts w:ascii="Arial" w:hAnsi="Arial" w:cs="Arial"/>
                <w:sz w:val="20"/>
                <w:szCs w:val="20"/>
                <w:lang w:eastAsia="bg-BG"/>
              </w:rPr>
              <w:t>№</w:t>
            </w:r>
          </w:p>
        </w:tc>
        <w:tc>
          <w:tcPr>
            <w:tcW w:w="3590" w:type="dxa"/>
            <w:vMerge w:val="restart"/>
            <w:tcBorders>
              <w:top w:val="single" w:sz="4" w:space="0" w:color="auto"/>
              <w:left w:val="single" w:sz="4" w:space="0" w:color="auto"/>
              <w:bottom w:val="single" w:sz="4" w:space="0" w:color="000000"/>
              <w:right w:val="single" w:sz="4" w:space="0" w:color="auto"/>
            </w:tcBorders>
            <w:shd w:val="clear" w:color="auto" w:fill="C0C0C0"/>
            <w:vAlign w:val="center"/>
          </w:tcPr>
          <w:p w:rsidR="00E7571B" w:rsidRPr="002B683F" w:rsidRDefault="00E7571B" w:rsidP="00E7571B">
            <w:pPr>
              <w:jc w:val="center"/>
              <w:rPr>
                <w:rFonts w:ascii="Arial" w:hAnsi="Arial" w:cs="Arial"/>
                <w:sz w:val="20"/>
                <w:szCs w:val="20"/>
                <w:lang w:eastAsia="bg-BG"/>
              </w:rPr>
            </w:pPr>
            <w:r w:rsidRPr="002B683F">
              <w:rPr>
                <w:rFonts w:ascii="Arial" w:hAnsi="Arial" w:cs="Arial"/>
                <w:sz w:val="20"/>
                <w:szCs w:val="20"/>
                <w:lang w:eastAsia="bg-BG"/>
              </w:rPr>
              <w:t>Задължения по контрагенти</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C0C0C0"/>
            <w:vAlign w:val="center"/>
          </w:tcPr>
          <w:p w:rsidR="00E7571B" w:rsidRPr="002B683F" w:rsidRDefault="00E7571B" w:rsidP="00E7571B">
            <w:pPr>
              <w:jc w:val="center"/>
              <w:rPr>
                <w:rFonts w:ascii="Arial" w:hAnsi="Arial" w:cs="Arial"/>
                <w:sz w:val="20"/>
                <w:szCs w:val="20"/>
                <w:lang w:eastAsia="bg-BG"/>
              </w:rPr>
            </w:pPr>
            <w:r w:rsidRPr="002B683F">
              <w:rPr>
                <w:rFonts w:ascii="Arial" w:hAnsi="Arial" w:cs="Arial"/>
                <w:sz w:val="20"/>
                <w:szCs w:val="20"/>
                <w:lang w:eastAsia="bg-BG"/>
              </w:rPr>
              <w:t>Общ размер</w:t>
            </w:r>
          </w:p>
        </w:tc>
        <w:tc>
          <w:tcPr>
            <w:tcW w:w="3131" w:type="dxa"/>
            <w:gridSpan w:val="3"/>
            <w:tcBorders>
              <w:top w:val="single" w:sz="4" w:space="0" w:color="auto"/>
              <w:left w:val="nil"/>
              <w:bottom w:val="single" w:sz="4" w:space="0" w:color="auto"/>
              <w:right w:val="single" w:sz="4" w:space="0" w:color="000000"/>
            </w:tcBorders>
            <w:shd w:val="clear" w:color="auto" w:fill="C0C0C0"/>
            <w:vAlign w:val="center"/>
          </w:tcPr>
          <w:p w:rsidR="00E7571B" w:rsidRPr="002B683F" w:rsidRDefault="00E7571B" w:rsidP="00E7571B">
            <w:pPr>
              <w:jc w:val="center"/>
              <w:rPr>
                <w:rFonts w:ascii="Arial" w:hAnsi="Arial" w:cs="Arial"/>
                <w:sz w:val="20"/>
                <w:szCs w:val="20"/>
                <w:lang w:eastAsia="bg-BG"/>
              </w:rPr>
            </w:pPr>
            <w:r w:rsidRPr="002B683F">
              <w:rPr>
                <w:rFonts w:ascii="Arial" w:hAnsi="Arial" w:cs="Arial"/>
                <w:sz w:val="20"/>
                <w:szCs w:val="20"/>
                <w:lang w:eastAsia="bg-BG"/>
              </w:rPr>
              <w:t>Възраст на задълженията</w:t>
            </w:r>
          </w:p>
        </w:tc>
        <w:tc>
          <w:tcPr>
            <w:tcW w:w="1387" w:type="dxa"/>
            <w:vMerge w:val="restart"/>
            <w:tcBorders>
              <w:top w:val="single" w:sz="4" w:space="0" w:color="auto"/>
              <w:left w:val="single" w:sz="4" w:space="0" w:color="auto"/>
              <w:bottom w:val="single" w:sz="4" w:space="0" w:color="000000"/>
              <w:right w:val="single" w:sz="4" w:space="0" w:color="auto"/>
            </w:tcBorders>
            <w:shd w:val="clear" w:color="auto" w:fill="C0C0C0"/>
            <w:vAlign w:val="center"/>
          </w:tcPr>
          <w:p w:rsidR="00E7571B" w:rsidRPr="002B683F" w:rsidRDefault="00E7571B" w:rsidP="00E7571B">
            <w:pPr>
              <w:jc w:val="center"/>
              <w:rPr>
                <w:rFonts w:ascii="Arial" w:hAnsi="Arial" w:cs="Arial"/>
                <w:sz w:val="20"/>
                <w:szCs w:val="20"/>
                <w:lang w:eastAsia="bg-BG"/>
              </w:rPr>
            </w:pPr>
            <w:r w:rsidRPr="002B683F">
              <w:rPr>
                <w:rFonts w:ascii="Arial" w:hAnsi="Arial" w:cs="Arial"/>
                <w:sz w:val="20"/>
                <w:szCs w:val="20"/>
                <w:lang w:eastAsia="bg-BG"/>
              </w:rPr>
              <w:t>Просрочени вземания</w:t>
            </w:r>
          </w:p>
        </w:tc>
      </w:tr>
      <w:tr w:rsidR="00E7571B" w:rsidRPr="002B683F" w:rsidTr="008E4E40">
        <w:trPr>
          <w:trHeight w:val="534"/>
          <w:jc w:val="center"/>
        </w:trPr>
        <w:tc>
          <w:tcPr>
            <w:tcW w:w="38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571B" w:rsidRPr="002B683F" w:rsidRDefault="00E7571B" w:rsidP="00E7571B">
            <w:pPr>
              <w:rPr>
                <w:rFonts w:ascii="Arial" w:hAnsi="Arial" w:cs="Arial"/>
                <w:sz w:val="20"/>
                <w:szCs w:val="20"/>
                <w:lang w:eastAsia="bg-BG"/>
              </w:rPr>
            </w:pPr>
          </w:p>
        </w:tc>
        <w:tc>
          <w:tcPr>
            <w:tcW w:w="359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E7571B" w:rsidRPr="002B683F" w:rsidRDefault="00E7571B" w:rsidP="00E7571B">
            <w:pPr>
              <w:rPr>
                <w:rFonts w:ascii="Arial" w:hAnsi="Arial" w:cs="Arial"/>
                <w:sz w:val="20"/>
                <w:szCs w:val="20"/>
                <w:lang w:eastAsia="bg-BG"/>
              </w:rPr>
            </w:pPr>
          </w:p>
        </w:tc>
        <w:tc>
          <w:tcPr>
            <w:tcW w:w="126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E7571B" w:rsidRPr="002B683F" w:rsidRDefault="00E7571B" w:rsidP="00E7571B">
            <w:pPr>
              <w:rPr>
                <w:rFonts w:ascii="Arial" w:hAnsi="Arial" w:cs="Arial"/>
                <w:sz w:val="20"/>
                <w:szCs w:val="20"/>
                <w:lang w:eastAsia="bg-BG"/>
              </w:rPr>
            </w:pPr>
          </w:p>
        </w:tc>
        <w:tc>
          <w:tcPr>
            <w:tcW w:w="1080" w:type="dxa"/>
            <w:tcBorders>
              <w:top w:val="nil"/>
              <w:left w:val="nil"/>
              <w:bottom w:val="single" w:sz="4" w:space="0" w:color="auto"/>
              <w:right w:val="single" w:sz="4" w:space="0" w:color="auto"/>
            </w:tcBorders>
            <w:shd w:val="clear" w:color="auto" w:fill="C0C0C0"/>
            <w:vAlign w:val="center"/>
          </w:tcPr>
          <w:p w:rsidR="00E7571B" w:rsidRPr="002B683F" w:rsidRDefault="00E7571B" w:rsidP="00E7571B">
            <w:pPr>
              <w:jc w:val="center"/>
              <w:rPr>
                <w:rFonts w:ascii="Arial" w:hAnsi="Arial" w:cs="Arial"/>
                <w:sz w:val="20"/>
                <w:szCs w:val="20"/>
                <w:lang w:eastAsia="bg-BG"/>
              </w:rPr>
            </w:pPr>
            <w:r w:rsidRPr="002B683F">
              <w:rPr>
                <w:rFonts w:ascii="Arial" w:hAnsi="Arial" w:cs="Arial"/>
                <w:sz w:val="20"/>
                <w:szCs w:val="20"/>
                <w:lang w:eastAsia="bg-BG"/>
              </w:rPr>
              <w:t>до 3 мес.</w:t>
            </w:r>
          </w:p>
        </w:tc>
        <w:tc>
          <w:tcPr>
            <w:tcW w:w="1080" w:type="dxa"/>
            <w:tcBorders>
              <w:top w:val="nil"/>
              <w:left w:val="nil"/>
              <w:bottom w:val="single" w:sz="4" w:space="0" w:color="auto"/>
              <w:right w:val="single" w:sz="4" w:space="0" w:color="auto"/>
            </w:tcBorders>
            <w:shd w:val="clear" w:color="auto" w:fill="C0C0C0"/>
            <w:vAlign w:val="center"/>
          </w:tcPr>
          <w:p w:rsidR="00E7571B" w:rsidRPr="002B683F" w:rsidRDefault="00E7571B" w:rsidP="00E7571B">
            <w:pPr>
              <w:jc w:val="center"/>
              <w:rPr>
                <w:rFonts w:ascii="Arial" w:hAnsi="Arial" w:cs="Arial"/>
                <w:sz w:val="20"/>
                <w:szCs w:val="20"/>
                <w:lang w:eastAsia="bg-BG"/>
              </w:rPr>
            </w:pPr>
            <w:r w:rsidRPr="002B683F">
              <w:rPr>
                <w:rFonts w:ascii="Arial" w:hAnsi="Arial" w:cs="Arial"/>
                <w:sz w:val="20"/>
                <w:szCs w:val="20"/>
                <w:lang w:eastAsia="bg-BG"/>
              </w:rPr>
              <w:t>от 3 до 6 мес.</w:t>
            </w:r>
          </w:p>
        </w:tc>
        <w:tc>
          <w:tcPr>
            <w:tcW w:w="971" w:type="dxa"/>
            <w:tcBorders>
              <w:top w:val="nil"/>
              <w:left w:val="nil"/>
              <w:bottom w:val="single" w:sz="4" w:space="0" w:color="auto"/>
              <w:right w:val="single" w:sz="4" w:space="0" w:color="auto"/>
            </w:tcBorders>
            <w:shd w:val="clear" w:color="auto" w:fill="C0C0C0"/>
            <w:vAlign w:val="center"/>
          </w:tcPr>
          <w:p w:rsidR="00E7571B" w:rsidRPr="002B683F" w:rsidRDefault="00E7571B" w:rsidP="00E7571B">
            <w:pPr>
              <w:jc w:val="center"/>
              <w:rPr>
                <w:rFonts w:ascii="Arial" w:hAnsi="Arial" w:cs="Arial"/>
                <w:sz w:val="20"/>
                <w:szCs w:val="20"/>
                <w:lang w:eastAsia="bg-BG"/>
              </w:rPr>
            </w:pPr>
            <w:r w:rsidRPr="002B683F">
              <w:rPr>
                <w:rFonts w:ascii="Arial" w:hAnsi="Arial" w:cs="Arial"/>
                <w:sz w:val="20"/>
                <w:szCs w:val="20"/>
                <w:lang w:eastAsia="bg-BG"/>
              </w:rPr>
              <w:t>над 6 мес.</w:t>
            </w:r>
          </w:p>
        </w:tc>
        <w:tc>
          <w:tcPr>
            <w:tcW w:w="13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571B" w:rsidRPr="002B683F" w:rsidRDefault="00E7571B" w:rsidP="00E7571B">
            <w:pPr>
              <w:rPr>
                <w:rFonts w:ascii="Arial" w:hAnsi="Arial" w:cs="Arial"/>
                <w:sz w:val="20"/>
                <w:szCs w:val="20"/>
                <w:lang w:eastAsia="bg-BG"/>
              </w:rPr>
            </w:pPr>
          </w:p>
        </w:tc>
      </w:tr>
      <w:tr w:rsidR="00856AB5" w:rsidRPr="002B683F" w:rsidTr="00443E7E">
        <w:trPr>
          <w:trHeight w:val="267"/>
          <w:jc w:val="center"/>
        </w:trPr>
        <w:tc>
          <w:tcPr>
            <w:tcW w:w="3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6AB5" w:rsidRPr="002B683F" w:rsidRDefault="00856AB5" w:rsidP="00856AB5">
            <w:pPr>
              <w:jc w:val="center"/>
              <w:rPr>
                <w:rFonts w:ascii="Arial" w:hAnsi="Arial" w:cs="Arial"/>
                <w:sz w:val="22"/>
                <w:szCs w:val="22"/>
                <w:lang w:eastAsia="bg-BG"/>
              </w:rPr>
            </w:pPr>
            <w:r w:rsidRPr="002B683F">
              <w:rPr>
                <w:rFonts w:ascii="Arial" w:hAnsi="Arial" w:cs="Arial"/>
                <w:sz w:val="22"/>
                <w:szCs w:val="22"/>
              </w:rPr>
              <w:t>1</w:t>
            </w:r>
          </w:p>
        </w:tc>
        <w:tc>
          <w:tcPr>
            <w:tcW w:w="3590" w:type="dxa"/>
            <w:tcBorders>
              <w:top w:val="single" w:sz="4" w:space="0" w:color="auto"/>
              <w:left w:val="nil"/>
              <w:bottom w:val="single" w:sz="4" w:space="0" w:color="auto"/>
              <w:right w:val="single" w:sz="4" w:space="0" w:color="auto"/>
            </w:tcBorders>
            <w:shd w:val="clear" w:color="auto" w:fill="auto"/>
            <w:noWrap/>
            <w:vAlign w:val="bottom"/>
          </w:tcPr>
          <w:p w:rsidR="00856AB5" w:rsidRPr="002B683F" w:rsidRDefault="00856AB5" w:rsidP="00856AB5">
            <w:pPr>
              <w:rPr>
                <w:rFonts w:ascii="Arial" w:hAnsi="Arial" w:cs="Arial"/>
                <w:sz w:val="20"/>
                <w:szCs w:val="20"/>
                <w:lang w:eastAsia="bg-BG"/>
              </w:rPr>
            </w:pPr>
            <w:r w:rsidRPr="002B683F">
              <w:rPr>
                <w:rFonts w:ascii="Arial" w:hAnsi="Arial" w:cs="Arial"/>
                <w:sz w:val="20"/>
                <w:szCs w:val="20"/>
              </w:rPr>
              <w:t>"АСОП - ЩИТ" ЕООД</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856AB5" w:rsidRPr="002B683F" w:rsidRDefault="00856AB5" w:rsidP="00856AB5">
            <w:pPr>
              <w:jc w:val="right"/>
              <w:rPr>
                <w:rFonts w:ascii="Arial" w:hAnsi="Arial" w:cs="Arial"/>
                <w:color w:val="000000"/>
                <w:sz w:val="20"/>
                <w:szCs w:val="20"/>
                <w:lang w:eastAsia="bg-BG"/>
              </w:rPr>
            </w:pPr>
            <w:r w:rsidRPr="002B683F">
              <w:rPr>
                <w:rFonts w:ascii="Arial" w:hAnsi="Arial" w:cs="Arial"/>
                <w:color w:val="000000"/>
                <w:sz w:val="20"/>
                <w:szCs w:val="20"/>
              </w:rPr>
              <w:t>40 454</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856AB5" w:rsidRPr="002B683F" w:rsidRDefault="00856AB5" w:rsidP="00856AB5">
            <w:pPr>
              <w:jc w:val="right"/>
              <w:rPr>
                <w:rFonts w:ascii="Arial" w:hAnsi="Arial" w:cs="Arial"/>
                <w:color w:val="000000"/>
                <w:sz w:val="20"/>
                <w:szCs w:val="20"/>
                <w:lang w:eastAsia="bg-BG"/>
              </w:rPr>
            </w:pPr>
            <w:r w:rsidRPr="002B683F">
              <w:rPr>
                <w:rFonts w:ascii="Arial" w:hAnsi="Arial" w:cs="Arial"/>
                <w:color w:val="000000"/>
                <w:sz w:val="20"/>
                <w:szCs w:val="20"/>
              </w:rPr>
              <w:t>40 454</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856AB5" w:rsidRPr="002B683F" w:rsidRDefault="00856AB5" w:rsidP="00856AB5">
            <w:pPr>
              <w:jc w:val="right"/>
              <w:rPr>
                <w:szCs w:val="22"/>
              </w:rPr>
            </w:pPr>
            <w:r w:rsidRPr="002B683F">
              <w:rPr>
                <w:szCs w:val="22"/>
              </w:rPr>
              <w:t>0</w:t>
            </w:r>
          </w:p>
        </w:tc>
        <w:tc>
          <w:tcPr>
            <w:tcW w:w="971" w:type="dxa"/>
            <w:tcBorders>
              <w:top w:val="single" w:sz="4" w:space="0" w:color="auto"/>
              <w:left w:val="nil"/>
              <w:bottom w:val="single" w:sz="4" w:space="0" w:color="auto"/>
              <w:right w:val="nil"/>
            </w:tcBorders>
            <w:shd w:val="clear" w:color="auto" w:fill="auto"/>
            <w:noWrap/>
            <w:vAlign w:val="center"/>
          </w:tcPr>
          <w:p w:rsidR="00856AB5" w:rsidRPr="002B683F" w:rsidRDefault="00856AB5" w:rsidP="00856AB5">
            <w:pPr>
              <w:jc w:val="right"/>
              <w:rPr>
                <w:szCs w:val="22"/>
              </w:rPr>
            </w:pPr>
            <w:r w:rsidRPr="002B683F">
              <w:rPr>
                <w:szCs w:val="22"/>
              </w:rPr>
              <w:t>0</w:t>
            </w:r>
          </w:p>
        </w:tc>
        <w:tc>
          <w:tcPr>
            <w:tcW w:w="1387" w:type="dxa"/>
            <w:tcBorders>
              <w:top w:val="nil"/>
              <w:left w:val="single" w:sz="4" w:space="0" w:color="auto"/>
              <w:bottom w:val="single" w:sz="4" w:space="0" w:color="auto"/>
              <w:right w:val="single" w:sz="4" w:space="0" w:color="auto"/>
            </w:tcBorders>
            <w:shd w:val="clear" w:color="auto" w:fill="auto"/>
            <w:noWrap/>
            <w:vAlign w:val="center"/>
          </w:tcPr>
          <w:p w:rsidR="00856AB5" w:rsidRPr="002B683F" w:rsidRDefault="00856AB5" w:rsidP="00856AB5">
            <w:pPr>
              <w:jc w:val="right"/>
              <w:rPr>
                <w:szCs w:val="22"/>
              </w:rPr>
            </w:pPr>
            <w:r w:rsidRPr="002B683F">
              <w:rPr>
                <w:szCs w:val="22"/>
              </w:rPr>
              <w:t>0</w:t>
            </w:r>
          </w:p>
        </w:tc>
      </w:tr>
      <w:tr w:rsidR="00856AB5" w:rsidRPr="002B683F" w:rsidTr="00443E7E">
        <w:trPr>
          <w:trHeight w:val="267"/>
          <w:jc w:val="center"/>
        </w:trPr>
        <w:tc>
          <w:tcPr>
            <w:tcW w:w="389" w:type="dxa"/>
            <w:tcBorders>
              <w:top w:val="nil"/>
              <w:left w:val="single" w:sz="4" w:space="0" w:color="auto"/>
              <w:bottom w:val="single" w:sz="4" w:space="0" w:color="auto"/>
              <w:right w:val="single" w:sz="4" w:space="0" w:color="auto"/>
            </w:tcBorders>
            <w:shd w:val="clear" w:color="auto" w:fill="auto"/>
            <w:noWrap/>
            <w:vAlign w:val="bottom"/>
          </w:tcPr>
          <w:p w:rsidR="00856AB5" w:rsidRPr="002B683F" w:rsidRDefault="00856AB5" w:rsidP="00856AB5">
            <w:pPr>
              <w:jc w:val="center"/>
              <w:rPr>
                <w:rFonts w:ascii="Arial" w:hAnsi="Arial" w:cs="Arial"/>
                <w:sz w:val="22"/>
                <w:szCs w:val="22"/>
              </w:rPr>
            </w:pPr>
            <w:r w:rsidRPr="002B683F">
              <w:rPr>
                <w:rFonts w:ascii="Arial" w:hAnsi="Arial" w:cs="Arial"/>
                <w:sz w:val="22"/>
                <w:szCs w:val="22"/>
              </w:rPr>
              <w:t>2</w:t>
            </w:r>
          </w:p>
        </w:tc>
        <w:tc>
          <w:tcPr>
            <w:tcW w:w="3590" w:type="dxa"/>
            <w:tcBorders>
              <w:top w:val="nil"/>
              <w:left w:val="nil"/>
              <w:bottom w:val="single" w:sz="4" w:space="0" w:color="auto"/>
              <w:right w:val="single" w:sz="4" w:space="0" w:color="auto"/>
            </w:tcBorders>
            <w:shd w:val="clear" w:color="auto" w:fill="auto"/>
            <w:noWrap/>
            <w:vAlign w:val="bottom"/>
          </w:tcPr>
          <w:p w:rsidR="00856AB5" w:rsidRPr="002B683F" w:rsidRDefault="00856AB5" w:rsidP="00856AB5">
            <w:pPr>
              <w:rPr>
                <w:rFonts w:ascii="Arial" w:hAnsi="Arial" w:cs="Arial"/>
                <w:sz w:val="20"/>
                <w:szCs w:val="20"/>
              </w:rPr>
            </w:pPr>
            <w:r w:rsidRPr="002B683F">
              <w:rPr>
                <w:rFonts w:ascii="Arial" w:hAnsi="Arial" w:cs="Arial"/>
                <w:sz w:val="20"/>
                <w:szCs w:val="20"/>
              </w:rPr>
              <w:t>"ГРАНД ЕНЕРДЖИ ДИСТРИБЮШЪН" ЕООД</w:t>
            </w:r>
          </w:p>
        </w:tc>
        <w:tc>
          <w:tcPr>
            <w:tcW w:w="1260" w:type="dxa"/>
            <w:tcBorders>
              <w:top w:val="nil"/>
              <w:left w:val="nil"/>
              <w:bottom w:val="single" w:sz="4" w:space="0" w:color="auto"/>
              <w:right w:val="single" w:sz="4" w:space="0" w:color="auto"/>
            </w:tcBorders>
            <w:shd w:val="clear" w:color="auto" w:fill="auto"/>
            <w:noWrap/>
            <w:vAlign w:val="bottom"/>
          </w:tcPr>
          <w:p w:rsidR="00856AB5" w:rsidRPr="002B683F" w:rsidRDefault="00856AB5" w:rsidP="00856AB5">
            <w:pPr>
              <w:jc w:val="right"/>
              <w:rPr>
                <w:rFonts w:ascii="Arial" w:hAnsi="Arial" w:cs="Arial"/>
                <w:color w:val="000000"/>
                <w:sz w:val="20"/>
                <w:szCs w:val="20"/>
              </w:rPr>
            </w:pPr>
            <w:r w:rsidRPr="002B683F">
              <w:rPr>
                <w:rFonts w:ascii="Arial" w:hAnsi="Arial" w:cs="Arial"/>
                <w:color w:val="000000"/>
                <w:sz w:val="20"/>
                <w:szCs w:val="20"/>
              </w:rPr>
              <w:t>21 935</w:t>
            </w:r>
          </w:p>
        </w:tc>
        <w:tc>
          <w:tcPr>
            <w:tcW w:w="1080" w:type="dxa"/>
            <w:tcBorders>
              <w:top w:val="nil"/>
              <w:left w:val="nil"/>
              <w:bottom w:val="single" w:sz="4" w:space="0" w:color="auto"/>
              <w:right w:val="single" w:sz="4" w:space="0" w:color="auto"/>
            </w:tcBorders>
            <w:shd w:val="clear" w:color="auto" w:fill="auto"/>
            <w:noWrap/>
            <w:vAlign w:val="bottom"/>
          </w:tcPr>
          <w:p w:rsidR="00856AB5" w:rsidRPr="002B683F" w:rsidRDefault="00856AB5" w:rsidP="00856AB5">
            <w:pPr>
              <w:jc w:val="right"/>
              <w:rPr>
                <w:rFonts w:ascii="Arial" w:hAnsi="Arial" w:cs="Arial"/>
                <w:color w:val="000000"/>
                <w:sz w:val="20"/>
                <w:szCs w:val="20"/>
              </w:rPr>
            </w:pPr>
            <w:r w:rsidRPr="002B683F">
              <w:rPr>
                <w:rFonts w:ascii="Arial" w:hAnsi="Arial" w:cs="Arial"/>
                <w:color w:val="000000"/>
                <w:sz w:val="20"/>
                <w:szCs w:val="20"/>
              </w:rPr>
              <w:t>21 935</w:t>
            </w:r>
          </w:p>
        </w:tc>
        <w:tc>
          <w:tcPr>
            <w:tcW w:w="1080" w:type="dxa"/>
            <w:tcBorders>
              <w:top w:val="nil"/>
              <w:left w:val="nil"/>
              <w:bottom w:val="single" w:sz="4" w:space="0" w:color="auto"/>
              <w:right w:val="single" w:sz="4" w:space="0" w:color="auto"/>
            </w:tcBorders>
            <w:shd w:val="clear" w:color="auto" w:fill="auto"/>
            <w:vAlign w:val="center"/>
          </w:tcPr>
          <w:p w:rsidR="00856AB5" w:rsidRPr="002B683F" w:rsidRDefault="00856AB5" w:rsidP="00856AB5">
            <w:pPr>
              <w:jc w:val="right"/>
              <w:rPr>
                <w:szCs w:val="22"/>
              </w:rPr>
            </w:pPr>
            <w:r w:rsidRPr="002B683F">
              <w:rPr>
                <w:szCs w:val="22"/>
              </w:rPr>
              <w:t>0</w:t>
            </w:r>
          </w:p>
        </w:tc>
        <w:tc>
          <w:tcPr>
            <w:tcW w:w="971" w:type="dxa"/>
            <w:tcBorders>
              <w:top w:val="nil"/>
              <w:left w:val="nil"/>
              <w:bottom w:val="single" w:sz="4" w:space="0" w:color="auto"/>
              <w:right w:val="nil"/>
            </w:tcBorders>
            <w:shd w:val="clear" w:color="auto" w:fill="auto"/>
            <w:noWrap/>
            <w:vAlign w:val="center"/>
          </w:tcPr>
          <w:p w:rsidR="00856AB5" w:rsidRPr="002B683F" w:rsidRDefault="00856AB5" w:rsidP="00856AB5">
            <w:pPr>
              <w:jc w:val="right"/>
              <w:rPr>
                <w:szCs w:val="22"/>
              </w:rPr>
            </w:pPr>
            <w:r w:rsidRPr="002B683F">
              <w:rPr>
                <w:szCs w:val="22"/>
              </w:rPr>
              <w:t>0</w:t>
            </w:r>
          </w:p>
        </w:tc>
        <w:tc>
          <w:tcPr>
            <w:tcW w:w="1387" w:type="dxa"/>
            <w:tcBorders>
              <w:top w:val="nil"/>
              <w:left w:val="single" w:sz="4" w:space="0" w:color="auto"/>
              <w:bottom w:val="single" w:sz="4" w:space="0" w:color="auto"/>
              <w:right w:val="single" w:sz="4" w:space="0" w:color="auto"/>
            </w:tcBorders>
            <w:shd w:val="clear" w:color="auto" w:fill="auto"/>
            <w:noWrap/>
            <w:vAlign w:val="center"/>
          </w:tcPr>
          <w:p w:rsidR="00856AB5" w:rsidRPr="002B683F" w:rsidRDefault="00856AB5" w:rsidP="00856AB5">
            <w:pPr>
              <w:jc w:val="right"/>
              <w:rPr>
                <w:szCs w:val="22"/>
              </w:rPr>
            </w:pPr>
            <w:r w:rsidRPr="002B683F">
              <w:rPr>
                <w:szCs w:val="22"/>
              </w:rPr>
              <w:t>0</w:t>
            </w:r>
          </w:p>
        </w:tc>
      </w:tr>
      <w:tr w:rsidR="00856AB5" w:rsidRPr="002B683F" w:rsidTr="00443E7E">
        <w:trPr>
          <w:trHeight w:val="126"/>
          <w:jc w:val="center"/>
        </w:trPr>
        <w:tc>
          <w:tcPr>
            <w:tcW w:w="389" w:type="dxa"/>
            <w:tcBorders>
              <w:top w:val="nil"/>
              <w:left w:val="single" w:sz="4" w:space="0" w:color="auto"/>
              <w:bottom w:val="single" w:sz="4" w:space="0" w:color="auto"/>
              <w:right w:val="single" w:sz="4" w:space="0" w:color="auto"/>
            </w:tcBorders>
            <w:shd w:val="clear" w:color="auto" w:fill="auto"/>
            <w:noWrap/>
            <w:vAlign w:val="bottom"/>
          </w:tcPr>
          <w:p w:rsidR="00856AB5" w:rsidRPr="002B683F" w:rsidRDefault="00856AB5" w:rsidP="00856AB5">
            <w:pPr>
              <w:jc w:val="center"/>
              <w:rPr>
                <w:rFonts w:ascii="Arial" w:hAnsi="Arial" w:cs="Arial"/>
                <w:sz w:val="22"/>
                <w:szCs w:val="22"/>
              </w:rPr>
            </w:pPr>
            <w:r w:rsidRPr="002B683F">
              <w:rPr>
                <w:rFonts w:ascii="Arial" w:hAnsi="Arial" w:cs="Arial"/>
                <w:sz w:val="22"/>
                <w:szCs w:val="22"/>
              </w:rPr>
              <w:t>3</w:t>
            </w:r>
          </w:p>
        </w:tc>
        <w:tc>
          <w:tcPr>
            <w:tcW w:w="3590" w:type="dxa"/>
            <w:tcBorders>
              <w:top w:val="nil"/>
              <w:left w:val="nil"/>
              <w:bottom w:val="single" w:sz="4" w:space="0" w:color="auto"/>
              <w:right w:val="single" w:sz="4" w:space="0" w:color="auto"/>
            </w:tcBorders>
            <w:shd w:val="clear" w:color="auto" w:fill="auto"/>
            <w:noWrap/>
            <w:vAlign w:val="bottom"/>
          </w:tcPr>
          <w:p w:rsidR="00856AB5" w:rsidRPr="002B683F" w:rsidRDefault="00856AB5" w:rsidP="00856AB5">
            <w:pPr>
              <w:rPr>
                <w:rFonts w:ascii="Arial" w:hAnsi="Arial" w:cs="Arial"/>
                <w:sz w:val="20"/>
                <w:szCs w:val="20"/>
              </w:rPr>
            </w:pPr>
            <w:r w:rsidRPr="002B683F">
              <w:rPr>
                <w:rFonts w:ascii="Arial" w:hAnsi="Arial" w:cs="Arial"/>
                <w:sz w:val="20"/>
                <w:szCs w:val="20"/>
              </w:rPr>
              <w:t>"ТОПЛОФИКАЦИЯ РУСЕ" ЕАД</w:t>
            </w:r>
          </w:p>
        </w:tc>
        <w:tc>
          <w:tcPr>
            <w:tcW w:w="1260" w:type="dxa"/>
            <w:tcBorders>
              <w:top w:val="nil"/>
              <w:left w:val="nil"/>
              <w:bottom w:val="single" w:sz="4" w:space="0" w:color="auto"/>
              <w:right w:val="single" w:sz="4" w:space="0" w:color="auto"/>
            </w:tcBorders>
            <w:shd w:val="clear" w:color="auto" w:fill="auto"/>
            <w:noWrap/>
            <w:vAlign w:val="bottom"/>
          </w:tcPr>
          <w:p w:rsidR="00856AB5" w:rsidRPr="002B683F" w:rsidRDefault="00856AB5" w:rsidP="00856AB5">
            <w:pPr>
              <w:jc w:val="right"/>
              <w:rPr>
                <w:rFonts w:ascii="Arial" w:hAnsi="Arial" w:cs="Arial"/>
                <w:color w:val="000000"/>
                <w:sz w:val="20"/>
                <w:szCs w:val="20"/>
              </w:rPr>
            </w:pPr>
            <w:r w:rsidRPr="002B683F">
              <w:rPr>
                <w:rFonts w:ascii="Arial" w:hAnsi="Arial" w:cs="Arial"/>
                <w:color w:val="000000"/>
                <w:sz w:val="20"/>
                <w:szCs w:val="20"/>
              </w:rPr>
              <w:t>9 641</w:t>
            </w:r>
          </w:p>
        </w:tc>
        <w:tc>
          <w:tcPr>
            <w:tcW w:w="1080" w:type="dxa"/>
            <w:tcBorders>
              <w:top w:val="nil"/>
              <w:left w:val="nil"/>
              <w:bottom w:val="single" w:sz="4" w:space="0" w:color="auto"/>
              <w:right w:val="single" w:sz="4" w:space="0" w:color="auto"/>
            </w:tcBorders>
            <w:shd w:val="clear" w:color="auto" w:fill="auto"/>
            <w:noWrap/>
            <w:vAlign w:val="bottom"/>
          </w:tcPr>
          <w:p w:rsidR="00856AB5" w:rsidRPr="002B683F" w:rsidRDefault="00856AB5" w:rsidP="00856AB5">
            <w:pPr>
              <w:jc w:val="right"/>
              <w:rPr>
                <w:rFonts w:ascii="Arial" w:hAnsi="Arial" w:cs="Arial"/>
                <w:color w:val="000000"/>
                <w:sz w:val="20"/>
                <w:szCs w:val="20"/>
              </w:rPr>
            </w:pPr>
            <w:r w:rsidRPr="002B683F">
              <w:rPr>
                <w:rFonts w:ascii="Arial" w:hAnsi="Arial" w:cs="Arial"/>
                <w:color w:val="000000"/>
                <w:sz w:val="20"/>
                <w:szCs w:val="20"/>
              </w:rPr>
              <w:t>9 641</w:t>
            </w:r>
          </w:p>
        </w:tc>
        <w:tc>
          <w:tcPr>
            <w:tcW w:w="1080" w:type="dxa"/>
            <w:tcBorders>
              <w:top w:val="nil"/>
              <w:left w:val="nil"/>
              <w:bottom w:val="single" w:sz="4" w:space="0" w:color="auto"/>
              <w:right w:val="single" w:sz="4" w:space="0" w:color="auto"/>
            </w:tcBorders>
            <w:shd w:val="clear" w:color="auto" w:fill="auto"/>
            <w:vAlign w:val="center"/>
          </w:tcPr>
          <w:p w:rsidR="00856AB5" w:rsidRPr="002B683F" w:rsidRDefault="00856AB5" w:rsidP="00856AB5">
            <w:pPr>
              <w:jc w:val="right"/>
              <w:rPr>
                <w:szCs w:val="22"/>
              </w:rPr>
            </w:pPr>
            <w:r w:rsidRPr="002B683F">
              <w:rPr>
                <w:szCs w:val="22"/>
              </w:rPr>
              <w:t>0</w:t>
            </w:r>
          </w:p>
        </w:tc>
        <w:tc>
          <w:tcPr>
            <w:tcW w:w="971" w:type="dxa"/>
            <w:tcBorders>
              <w:top w:val="nil"/>
              <w:left w:val="nil"/>
              <w:bottom w:val="single" w:sz="4" w:space="0" w:color="auto"/>
              <w:right w:val="nil"/>
            </w:tcBorders>
            <w:shd w:val="clear" w:color="auto" w:fill="auto"/>
            <w:noWrap/>
            <w:vAlign w:val="center"/>
          </w:tcPr>
          <w:p w:rsidR="00856AB5" w:rsidRPr="002B683F" w:rsidRDefault="00856AB5" w:rsidP="00856AB5">
            <w:pPr>
              <w:jc w:val="right"/>
              <w:rPr>
                <w:szCs w:val="22"/>
              </w:rPr>
            </w:pPr>
            <w:r w:rsidRPr="002B683F">
              <w:rPr>
                <w:szCs w:val="22"/>
              </w:rPr>
              <w:t>0</w:t>
            </w:r>
          </w:p>
        </w:tc>
        <w:tc>
          <w:tcPr>
            <w:tcW w:w="1387" w:type="dxa"/>
            <w:tcBorders>
              <w:top w:val="nil"/>
              <w:left w:val="single" w:sz="4" w:space="0" w:color="auto"/>
              <w:bottom w:val="single" w:sz="4" w:space="0" w:color="auto"/>
              <w:right w:val="single" w:sz="4" w:space="0" w:color="auto"/>
            </w:tcBorders>
            <w:shd w:val="clear" w:color="auto" w:fill="auto"/>
            <w:noWrap/>
            <w:vAlign w:val="center"/>
          </w:tcPr>
          <w:p w:rsidR="00856AB5" w:rsidRPr="002B683F" w:rsidRDefault="00856AB5" w:rsidP="00856AB5">
            <w:pPr>
              <w:jc w:val="right"/>
              <w:rPr>
                <w:szCs w:val="22"/>
              </w:rPr>
            </w:pPr>
            <w:r w:rsidRPr="002B683F">
              <w:rPr>
                <w:szCs w:val="22"/>
              </w:rPr>
              <w:t>0</w:t>
            </w:r>
          </w:p>
        </w:tc>
      </w:tr>
      <w:tr w:rsidR="00856AB5" w:rsidRPr="002B683F" w:rsidTr="00443E7E">
        <w:trPr>
          <w:trHeight w:val="126"/>
          <w:jc w:val="center"/>
        </w:trPr>
        <w:tc>
          <w:tcPr>
            <w:tcW w:w="389" w:type="dxa"/>
            <w:tcBorders>
              <w:top w:val="nil"/>
              <w:left w:val="single" w:sz="4" w:space="0" w:color="auto"/>
              <w:bottom w:val="single" w:sz="4" w:space="0" w:color="auto"/>
              <w:right w:val="single" w:sz="4" w:space="0" w:color="auto"/>
            </w:tcBorders>
            <w:shd w:val="clear" w:color="auto" w:fill="auto"/>
            <w:noWrap/>
            <w:vAlign w:val="bottom"/>
          </w:tcPr>
          <w:p w:rsidR="00856AB5" w:rsidRPr="002B683F" w:rsidRDefault="00856AB5" w:rsidP="00856AB5">
            <w:pPr>
              <w:jc w:val="center"/>
              <w:rPr>
                <w:rFonts w:ascii="Arial" w:hAnsi="Arial" w:cs="Arial"/>
                <w:sz w:val="22"/>
                <w:szCs w:val="22"/>
              </w:rPr>
            </w:pPr>
            <w:r w:rsidRPr="002B683F">
              <w:rPr>
                <w:rFonts w:ascii="Arial" w:hAnsi="Arial" w:cs="Arial"/>
                <w:sz w:val="22"/>
                <w:szCs w:val="22"/>
              </w:rPr>
              <w:t>4</w:t>
            </w:r>
          </w:p>
        </w:tc>
        <w:tc>
          <w:tcPr>
            <w:tcW w:w="3590" w:type="dxa"/>
            <w:tcBorders>
              <w:top w:val="nil"/>
              <w:left w:val="nil"/>
              <w:bottom w:val="single" w:sz="4" w:space="0" w:color="auto"/>
              <w:right w:val="single" w:sz="4" w:space="0" w:color="auto"/>
            </w:tcBorders>
            <w:shd w:val="clear" w:color="auto" w:fill="auto"/>
            <w:noWrap/>
            <w:vAlign w:val="bottom"/>
          </w:tcPr>
          <w:p w:rsidR="00856AB5" w:rsidRPr="002B683F" w:rsidRDefault="00856AB5" w:rsidP="00856AB5">
            <w:pPr>
              <w:rPr>
                <w:rFonts w:ascii="Arial" w:hAnsi="Arial" w:cs="Arial"/>
                <w:sz w:val="20"/>
                <w:szCs w:val="20"/>
                <w:lang w:eastAsia="bg-BG"/>
              </w:rPr>
            </w:pPr>
            <w:r w:rsidRPr="002B683F">
              <w:rPr>
                <w:rFonts w:ascii="Arial" w:hAnsi="Arial" w:cs="Arial"/>
                <w:sz w:val="20"/>
                <w:szCs w:val="20"/>
              </w:rPr>
              <w:t>"ЛАЙТС" ООД</w:t>
            </w:r>
          </w:p>
        </w:tc>
        <w:tc>
          <w:tcPr>
            <w:tcW w:w="1260" w:type="dxa"/>
            <w:tcBorders>
              <w:top w:val="nil"/>
              <w:left w:val="nil"/>
              <w:bottom w:val="single" w:sz="4" w:space="0" w:color="auto"/>
              <w:right w:val="single" w:sz="4" w:space="0" w:color="auto"/>
            </w:tcBorders>
            <w:shd w:val="clear" w:color="auto" w:fill="auto"/>
            <w:noWrap/>
            <w:vAlign w:val="bottom"/>
          </w:tcPr>
          <w:p w:rsidR="00856AB5" w:rsidRPr="002B683F" w:rsidRDefault="00856AB5" w:rsidP="00856AB5">
            <w:pPr>
              <w:jc w:val="right"/>
              <w:rPr>
                <w:rFonts w:ascii="Arial" w:hAnsi="Arial" w:cs="Arial"/>
                <w:color w:val="000000"/>
                <w:sz w:val="20"/>
                <w:szCs w:val="20"/>
              </w:rPr>
            </w:pPr>
            <w:r w:rsidRPr="002B683F">
              <w:rPr>
                <w:rFonts w:ascii="Arial" w:hAnsi="Arial" w:cs="Arial"/>
                <w:color w:val="000000"/>
                <w:sz w:val="20"/>
                <w:szCs w:val="20"/>
              </w:rPr>
              <w:t>1 496</w:t>
            </w:r>
          </w:p>
        </w:tc>
        <w:tc>
          <w:tcPr>
            <w:tcW w:w="1080" w:type="dxa"/>
            <w:tcBorders>
              <w:top w:val="nil"/>
              <w:left w:val="nil"/>
              <w:bottom w:val="single" w:sz="4" w:space="0" w:color="auto"/>
              <w:right w:val="single" w:sz="4" w:space="0" w:color="auto"/>
            </w:tcBorders>
            <w:shd w:val="clear" w:color="auto" w:fill="auto"/>
            <w:noWrap/>
            <w:vAlign w:val="bottom"/>
          </w:tcPr>
          <w:p w:rsidR="00856AB5" w:rsidRPr="002B683F" w:rsidRDefault="00856AB5" w:rsidP="00856AB5">
            <w:pPr>
              <w:jc w:val="right"/>
              <w:rPr>
                <w:rFonts w:ascii="Arial" w:hAnsi="Arial" w:cs="Arial"/>
                <w:color w:val="000000"/>
                <w:sz w:val="20"/>
                <w:szCs w:val="20"/>
              </w:rPr>
            </w:pPr>
            <w:r w:rsidRPr="002B683F">
              <w:rPr>
                <w:rFonts w:ascii="Arial" w:hAnsi="Arial" w:cs="Arial"/>
                <w:color w:val="000000"/>
                <w:sz w:val="20"/>
                <w:szCs w:val="20"/>
              </w:rPr>
              <w:t>1 496</w:t>
            </w:r>
          </w:p>
        </w:tc>
        <w:tc>
          <w:tcPr>
            <w:tcW w:w="1080" w:type="dxa"/>
            <w:tcBorders>
              <w:top w:val="nil"/>
              <w:left w:val="nil"/>
              <w:bottom w:val="single" w:sz="4" w:space="0" w:color="auto"/>
              <w:right w:val="single" w:sz="4" w:space="0" w:color="auto"/>
            </w:tcBorders>
            <w:shd w:val="clear" w:color="auto" w:fill="auto"/>
            <w:vAlign w:val="center"/>
          </w:tcPr>
          <w:p w:rsidR="00856AB5" w:rsidRPr="002B683F" w:rsidRDefault="00856AB5" w:rsidP="00856AB5">
            <w:pPr>
              <w:jc w:val="right"/>
              <w:rPr>
                <w:szCs w:val="22"/>
              </w:rPr>
            </w:pPr>
          </w:p>
        </w:tc>
        <w:tc>
          <w:tcPr>
            <w:tcW w:w="971" w:type="dxa"/>
            <w:tcBorders>
              <w:top w:val="nil"/>
              <w:left w:val="nil"/>
              <w:bottom w:val="single" w:sz="4" w:space="0" w:color="auto"/>
              <w:right w:val="nil"/>
            </w:tcBorders>
            <w:shd w:val="clear" w:color="auto" w:fill="auto"/>
            <w:noWrap/>
            <w:vAlign w:val="center"/>
          </w:tcPr>
          <w:p w:rsidR="00856AB5" w:rsidRPr="002B683F" w:rsidRDefault="00856AB5" w:rsidP="00856AB5">
            <w:pPr>
              <w:jc w:val="right"/>
              <w:rPr>
                <w:szCs w:val="22"/>
              </w:rPr>
            </w:pPr>
          </w:p>
        </w:tc>
        <w:tc>
          <w:tcPr>
            <w:tcW w:w="1387" w:type="dxa"/>
            <w:tcBorders>
              <w:top w:val="nil"/>
              <w:left w:val="single" w:sz="4" w:space="0" w:color="auto"/>
              <w:bottom w:val="single" w:sz="4" w:space="0" w:color="auto"/>
              <w:right w:val="single" w:sz="4" w:space="0" w:color="auto"/>
            </w:tcBorders>
            <w:shd w:val="clear" w:color="auto" w:fill="auto"/>
            <w:noWrap/>
            <w:vAlign w:val="center"/>
          </w:tcPr>
          <w:p w:rsidR="00856AB5" w:rsidRPr="002B683F" w:rsidRDefault="00856AB5" w:rsidP="00856AB5">
            <w:pPr>
              <w:jc w:val="right"/>
              <w:rPr>
                <w:szCs w:val="22"/>
              </w:rPr>
            </w:pPr>
          </w:p>
        </w:tc>
      </w:tr>
      <w:tr w:rsidR="00856AB5" w:rsidRPr="002B683F" w:rsidTr="00443E7E">
        <w:trPr>
          <w:trHeight w:val="126"/>
          <w:jc w:val="center"/>
        </w:trPr>
        <w:tc>
          <w:tcPr>
            <w:tcW w:w="389" w:type="dxa"/>
            <w:tcBorders>
              <w:top w:val="nil"/>
              <w:left w:val="single" w:sz="4" w:space="0" w:color="auto"/>
              <w:bottom w:val="single" w:sz="4" w:space="0" w:color="auto"/>
              <w:right w:val="single" w:sz="4" w:space="0" w:color="auto"/>
            </w:tcBorders>
            <w:shd w:val="clear" w:color="auto" w:fill="auto"/>
            <w:noWrap/>
            <w:vAlign w:val="bottom"/>
          </w:tcPr>
          <w:p w:rsidR="00856AB5" w:rsidRPr="002B683F" w:rsidRDefault="00856AB5" w:rsidP="00856AB5">
            <w:pPr>
              <w:jc w:val="center"/>
              <w:rPr>
                <w:rFonts w:ascii="Arial" w:hAnsi="Arial" w:cs="Arial"/>
                <w:sz w:val="22"/>
                <w:szCs w:val="22"/>
              </w:rPr>
            </w:pPr>
            <w:r w:rsidRPr="002B683F">
              <w:rPr>
                <w:rFonts w:ascii="Arial" w:hAnsi="Arial" w:cs="Arial"/>
                <w:sz w:val="22"/>
                <w:szCs w:val="22"/>
              </w:rPr>
              <w:t>5</w:t>
            </w:r>
          </w:p>
        </w:tc>
        <w:tc>
          <w:tcPr>
            <w:tcW w:w="3590" w:type="dxa"/>
            <w:tcBorders>
              <w:top w:val="nil"/>
              <w:left w:val="nil"/>
              <w:bottom w:val="single" w:sz="4" w:space="0" w:color="auto"/>
              <w:right w:val="single" w:sz="4" w:space="0" w:color="auto"/>
            </w:tcBorders>
            <w:shd w:val="clear" w:color="auto" w:fill="auto"/>
            <w:noWrap/>
            <w:vAlign w:val="bottom"/>
          </w:tcPr>
          <w:p w:rsidR="00856AB5" w:rsidRPr="002B683F" w:rsidRDefault="00856AB5" w:rsidP="00856AB5">
            <w:pPr>
              <w:rPr>
                <w:rFonts w:ascii="Arial" w:hAnsi="Arial" w:cs="Arial"/>
                <w:sz w:val="20"/>
                <w:szCs w:val="20"/>
              </w:rPr>
            </w:pPr>
            <w:r w:rsidRPr="002B683F">
              <w:rPr>
                <w:rFonts w:ascii="Arial" w:hAnsi="Arial" w:cs="Arial"/>
                <w:sz w:val="20"/>
                <w:szCs w:val="20"/>
              </w:rPr>
              <w:t>"ПРИМЕКС"ЕООД</w:t>
            </w:r>
          </w:p>
        </w:tc>
        <w:tc>
          <w:tcPr>
            <w:tcW w:w="1260" w:type="dxa"/>
            <w:tcBorders>
              <w:top w:val="nil"/>
              <w:left w:val="nil"/>
              <w:bottom w:val="single" w:sz="4" w:space="0" w:color="auto"/>
              <w:right w:val="single" w:sz="4" w:space="0" w:color="auto"/>
            </w:tcBorders>
            <w:shd w:val="clear" w:color="auto" w:fill="auto"/>
            <w:noWrap/>
            <w:vAlign w:val="bottom"/>
          </w:tcPr>
          <w:p w:rsidR="00856AB5" w:rsidRPr="002B683F" w:rsidRDefault="00856AB5" w:rsidP="00856AB5">
            <w:pPr>
              <w:jc w:val="right"/>
              <w:rPr>
                <w:rFonts w:ascii="Arial" w:hAnsi="Arial" w:cs="Arial"/>
                <w:color w:val="000000"/>
                <w:sz w:val="20"/>
                <w:szCs w:val="20"/>
              </w:rPr>
            </w:pPr>
            <w:r w:rsidRPr="002B683F">
              <w:rPr>
                <w:rFonts w:ascii="Arial" w:hAnsi="Arial" w:cs="Arial"/>
                <w:color w:val="000000"/>
                <w:sz w:val="20"/>
                <w:szCs w:val="20"/>
              </w:rPr>
              <w:t>1 048</w:t>
            </w:r>
          </w:p>
        </w:tc>
        <w:tc>
          <w:tcPr>
            <w:tcW w:w="1080" w:type="dxa"/>
            <w:tcBorders>
              <w:top w:val="nil"/>
              <w:left w:val="nil"/>
              <w:bottom w:val="single" w:sz="4" w:space="0" w:color="auto"/>
              <w:right w:val="single" w:sz="4" w:space="0" w:color="auto"/>
            </w:tcBorders>
            <w:shd w:val="clear" w:color="auto" w:fill="auto"/>
            <w:noWrap/>
            <w:vAlign w:val="bottom"/>
          </w:tcPr>
          <w:p w:rsidR="00856AB5" w:rsidRPr="002B683F" w:rsidRDefault="00856AB5" w:rsidP="00856AB5">
            <w:pPr>
              <w:jc w:val="right"/>
              <w:rPr>
                <w:rFonts w:ascii="Arial" w:hAnsi="Arial" w:cs="Arial"/>
                <w:color w:val="000000"/>
                <w:sz w:val="20"/>
                <w:szCs w:val="20"/>
              </w:rPr>
            </w:pPr>
            <w:r w:rsidRPr="002B683F">
              <w:rPr>
                <w:rFonts w:ascii="Arial" w:hAnsi="Arial" w:cs="Arial"/>
                <w:color w:val="000000"/>
                <w:sz w:val="20"/>
                <w:szCs w:val="20"/>
              </w:rPr>
              <w:t>1 048</w:t>
            </w:r>
          </w:p>
        </w:tc>
        <w:tc>
          <w:tcPr>
            <w:tcW w:w="1080" w:type="dxa"/>
            <w:tcBorders>
              <w:top w:val="nil"/>
              <w:left w:val="nil"/>
              <w:bottom w:val="single" w:sz="4" w:space="0" w:color="auto"/>
              <w:right w:val="single" w:sz="4" w:space="0" w:color="auto"/>
            </w:tcBorders>
            <w:shd w:val="clear" w:color="auto" w:fill="auto"/>
            <w:vAlign w:val="center"/>
          </w:tcPr>
          <w:p w:rsidR="00856AB5" w:rsidRPr="002B683F" w:rsidRDefault="00856AB5" w:rsidP="00856AB5">
            <w:pPr>
              <w:jc w:val="right"/>
              <w:rPr>
                <w:szCs w:val="22"/>
              </w:rPr>
            </w:pPr>
          </w:p>
        </w:tc>
        <w:tc>
          <w:tcPr>
            <w:tcW w:w="971" w:type="dxa"/>
            <w:tcBorders>
              <w:top w:val="nil"/>
              <w:left w:val="nil"/>
              <w:bottom w:val="single" w:sz="4" w:space="0" w:color="auto"/>
              <w:right w:val="nil"/>
            </w:tcBorders>
            <w:shd w:val="clear" w:color="auto" w:fill="auto"/>
            <w:noWrap/>
            <w:vAlign w:val="center"/>
          </w:tcPr>
          <w:p w:rsidR="00856AB5" w:rsidRPr="002B683F" w:rsidRDefault="00856AB5" w:rsidP="00856AB5">
            <w:pPr>
              <w:jc w:val="right"/>
              <w:rPr>
                <w:szCs w:val="22"/>
              </w:rPr>
            </w:pPr>
          </w:p>
        </w:tc>
        <w:tc>
          <w:tcPr>
            <w:tcW w:w="1387" w:type="dxa"/>
            <w:tcBorders>
              <w:top w:val="nil"/>
              <w:left w:val="single" w:sz="4" w:space="0" w:color="auto"/>
              <w:bottom w:val="single" w:sz="4" w:space="0" w:color="auto"/>
              <w:right w:val="single" w:sz="4" w:space="0" w:color="auto"/>
            </w:tcBorders>
            <w:shd w:val="clear" w:color="auto" w:fill="auto"/>
            <w:noWrap/>
            <w:vAlign w:val="center"/>
          </w:tcPr>
          <w:p w:rsidR="00856AB5" w:rsidRPr="002B683F" w:rsidRDefault="00856AB5" w:rsidP="00856AB5">
            <w:pPr>
              <w:jc w:val="right"/>
              <w:rPr>
                <w:szCs w:val="22"/>
              </w:rPr>
            </w:pPr>
          </w:p>
        </w:tc>
      </w:tr>
      <w:tr w:rsidR="00856AB5" w:rsidRPr="002B683F" w:rsidTr="00135F12">
        <w:trPr>
          <w:trHeight w:val="267"/>
          <w:jc w:val="center"/>
        </w:trPr>
        <w:tc>
          <w:tcPr>
            <w:tcW w:w="389" w:type="dxa"/>
            <w:tcBorders>
              <w:top w:val="nil"/>
              <w:left w:val="single" w:sz="4" w:space="0" w:color="auto"/>
              <w:bottom w:val="single" w:sz="4" w:space="0" w:color="auto"/>
              <w:right w:val="single" w:sz="4" w:space="0" w:color="auto"/>
            </w:tcBorders>
            <w:shd w:val="clear" w:color="auto" w:fill="auto"/>
            <w:noWrap/>
            <w:vAlign w:val="bottom"/>
          </w:tcPr>
          <w:p w:rsidR="00856AB5" w:rsidRPr="002B683F" w:rsidRDefault="00856AB5" w:rsidP="00856AB5">
            <w:pPr>
              <w:jc w:val="center"/>
              <w:rPr>
                <w:rFonts w:ascii="Arial" w:hAnsi="Arial" w:cs="Arial"/>
              </w:rPr>
            </w:pPr>
            <w:r w:rsidRPr="002B683F">
              <w:rPr>
                <w:rFonts w:ascii="Arial" w:hAnsi="Arial" w:cs="Arial"/>
              </w:rPr>
              <w:t> </w:t>
            </w:r>
          </w:p>
        </w:tc>
        <w:tc>
          <w:tcPr>
            <w:tcW w:w="3590" w:type="dxa"/>
            <w:tcBorders>
              <w:top w:val="nil"/>
              <w:left w:val="nil"/>
              <w:bottom w:val="single" w:sz="4" w:space="0" w:color="auto"/>
              <w:right w:val="single" w:sz="4" w:space="0" w:color="auto"/>
            </w:tcBorders>
            <w:shd w:val="clear" w:color="auto" w:fill="auto"/>
            <w:noWrap/>
            <w:vAlign w:val="bottom"/>
          </w:tcPr>
          <w:p w:rsidR="00856AB5" w:rsidRPr="002B683F" w:rsidRDefault="00856AB5" w:rsidP="00856AB5">
            <w:pPr>
              <w:jc w:val="right"/>
              <w:rPr>
                <w:rFonts w:ascii="Arial" w:hAnsi="Arial" w:cs="Arial"/>
                <w:sz w:val="20"/>
                <w:szCs w:val="20"/>
              </w:rPr>
            </w:pPr>
            <w:r w:rsidRPr="002B683F">
              <w:rPr>
                <w:rFonts w:ascii="Arial" w:hAnsi="Arial" w:cs="Arial"/>
                <w:sz w:val="20"/>
                <w:szCs w:val="20"/>
              </w:rPr>
              <w:t xml:space="preserve">Други </w:t>
            </w:r>
          </w:p>
        </w:tc>
        <w:tc>
          <w:tcPr>
            <w:tcW w:w="1260" w:type="dxa"/>
            <w:tcBorders>
              <w:top w:val="nil"/>
              <w:left w:val="nil"/>
              <w:bottom w:val="single" w:sz="4" w:space="0" w:color="auto"/>
              <w:right w:val="single" w:sz="4" w:space="0" w:color="auto"/>
            </w:tcBorders>
            <w:shd w:val="clear" w:color="auto" w:fill="auto"/>
            <w:noWrap/>
            <w:vAlign w:val="bottom"/>
          </w:tcPr>
          <w:p w:rsidR="00856AB5" w:rsidRPr="002B683F" w:rsidRDefault="00856AB5" w:rsidP="00856AB5">
            <w:pPr>
              <w:jc w:val="right"/>
              <w:rPr>
                <w:rFonts w:ascii="Arial" w:hAnsi="Arial" w:cs="Arial"/>
                <w:sz w:val="20"/>
                <w:szCs w:val="20"/>
                <w:lang w:eastAsia="bg-BG"/>
              </w:rPr>
            </w:pPr>
            <w:r w:rsidRPr="002B683F">
              <w:rPr>
                <w:rFonts w:ascii="Arial" w:hAnsi="Arial" w:cs="Arial"/>
                <w:sz w:val="20"/>
                <w:szCs w:val="20"/>
              </w:rPr>
              <w:t>3 034</w:t>
            </w:r>
          </w:p>
        </w:tc>
        <w:tc>
          <w:tcPr>
            <w:tcW w:w="1080" w:type="dxa"/>
            <w:tcBorders>
              <w:top w:val="nil"/>
              <w:left w:val="nil"/>
              <w:bottom w:val="single" w:sz="4" w:space="0" w:color="auto"/>
              <w:right w:val="single" w:sz="4" w:space="0" w:color="auto"/>
            </w:tcBorders>
            <w:shd w:val="clear" w:color="auto" w:fill="auto"/>
            <w:noWrap/>
            <w:vAlign w:val="bottom"/>
          </w:tcPr>
          <w:p w:rsidR="00856AB5" w:rsidRPr="002B683F" w:rsidRDefault="00856AB5" w:rsidP="00856AB5">
            <w:pPr>
              <w:jc w:val="right"/>
              <w:rPr>
                <w:rFonts w:ascii="Arial" w:hAnsi="Arial" w:cs="Arial"/>
                <w:sz w:val="20"/>
                <w:szCs w:val="20"/>
              </w:rPr>
            </w:pPr>
            <w:r w:rsidRPr="002B683F">
              <w:rPr>
                <w:rFonts w:ascii="Arial" w:hAnsi="Arial" w:cs="Arial"/>
                <w:sz w:val="20"/>
                <w:szCs w:val="20"/>
              </w:rPr>
              <w:t xml:space="preserve"> 3 034</w:t>
            </w:r>
          </w:p>
        </w:tc>
        <w:tc>
          <w:tcPr>
            <w:tcW w:w="1080" w:type="dxa"/>
            <w:tcBorders>
              <w:top w:val="single" w:sz="4" w:space="0" w:color="auto"/>
              <w:left w:val="nil"/>
              <w:bottom w:val="single" w:sz="4" w:space="0" w:color="auto"/>
              <w:right w:val="single" w:sz="4" w:space="0" w:color="auto"/>
            </w:tcBorders>
            <w:shd w:val="clear" w:color="auto" w:fill="auto"/>
            <w:vAlign w:val="center"/>
          </w:tcPr>
          <w:p w:rsidR="00856AB5" w:rsidRPr="002B683F" w:rsidRDefault="00856AB5" w:rsidP="00856AB5">
            <w:pPr>
              <w:jc w:val="right"/>
              <w:rPr>
                <w:b/>
                <w:bCs/>
                <w:szCs w:val="22"/>
              </w:rPr>
            </w:pPr>
            <w:r w:rsidRPr="002B683F">
              <w:rPr>
                <w:b/>
                <w:bCs/>
                <w:szCs w:val="22"/>
              </w:rPr>
              <w:t>0</w:t>
            </w:r>
          </w:p>
        </w:tc>
        <w:tc>
          <w:tcPr>
            <w:tcW w:w="971" w:type="dxa"/>
            <w:tcBorders>
              <w:top w:val="single" w:sz="4" w:space="0" w:color="auto"/>
              <w:left w:val="nil"/>
              <w:bottom w:val="single" w:sz="4" w:space="0" w:color="auto"/>
              <w:right w:val="single" w:sz="4" w:space="0" w:color="auto"/>
            </w:tcBorders>
            <w:shd w:val="clear" w:color="auto" w:fill="auto"/>
            <w:noWrap/>
            <w:vAlign w:val="center"/>
          </w:tcPr>
          <w:p w:rsidR="00856AB5" w:rsidRPr="002B683F" w:rsidRDefault="00856AB5" w:rsidP="00856AB5">
            <w:pPr>
              <w:jc w:val="right"/>
              <w:rPr>
                <w:b/>
                <w:bCs/>
                <w:szCs w:val="22"/>
              </w:rPr>
            </w:pPr>
            <w:r w:rsidRPr="002B683F">
              <w:rPr>
                <w:b/>
                <w:bCs/>
                <w:szCs w:val="22"/>
              </w:rPr>
              <w:t>0</w:t>
            </w:r>
          </w:p>
        </w:tc>
        <w:tc>
          <w:tcPr>
            <w:tcW w:w="1387" w:type="dxa"/>
            <w:tcBorders>
              <w:top w:val="single" w:sz="4" w:space="0" w:color="auto"/>
              <w:left w:val="nil"/>
              <w:bottom w:val="single" w:sz="4" w:space="0" w:color="auto"/>
              <w:right w:val="single" w:sz="4" w:space="0" w:color="auto"/>
            </w:tcBorders>
            <w:shd w:val="clear" w:color="auto" w:fill="auto"/>
            <w:noWrap/>
            <w:vAlign w:val="center"/>
          </w:tcPr>
          <w:p w:rsidR="00856AB5" w:rsidRPr="002B683F" w:rsidRDefault="00856AB5" w:rsidP="00856AB5">
            <w:pPr>
              <w:jc w:val="right"/>
              <w:rPr>
                <w:b/>
                <w:bCs/>
                <w:szCs w:val="22"/>
              </w:rPr>
            </w:pPr>
            <w:r w:rsidRPr="002B683F">
              <w:rPr>
                <w:b/>
                <w:bCs/>
                <w:szCs w:val="22"/>
              </w:rPr>
              <w:t>0</w:t>
            </w:r>
          </w:p>
        </w:tc>
      </w:tr>
      <w:tr w:rsidR="00856AB5" w:rsidRPr="002B683F" w:rsidTr="00135F12">
        <w:trPr>
          <w:trHeight w:val="267"/>
          <w:jc w:val="center"/>
        </w:trPr>
        <w:tc>
          <w:tcPr>
            <w:tcW w:w="389" w:type="dxa"/>
            <w:tcBorders>
              <w:top w:val="nil"/>
              <w:left w:val="single" w:sz="4" w:space="0" w:color="auto"/>
              <w:bottom w:val="single" w:sz="4" w:space="0" w:color="auto"/>
              <w:right w:val="single" w:sz="4" w:space="0" w:color="auto"/>
            </w:tcBorders>
            <w:shd w:val="clear" w:color="auto" w:fill="auto"/>
            <w:noWrap/>
            <w:vAlign w:val="bottom"/>
          </w:tcPr>
          <w:p w:rsidR="00856AB5" w:rsidRPr="002B683F" w:rsidRDefault="00856AB5" w:rsidP="00856AB5">
            <w:pPr>
              <w:rPr>
                <w:rFonts w:ascii="Arial" w:hAnsi="Arial" w:cs="Arial"/>
              </w:rPr>
            </w:pPr>
            <w:r w:rsidRPr="002B683F">
              <w:rPr>
                <w:rFonts w:ascii="Arial" w:hAnsi="Arial" w:cs="Arial"/>
              </w:rPr>
              <w:t> </w:t>
            </w:r>
          </w:p>
        </w:tc>
        <w:tc>
          <w:tcPr>
            <w:tcW w:w="3590" w:type="dxa"/>
            <w:tcBorders>
              <w:top w:val="nil"/>
              <w:left w:val="nil"/>
              <w:bottom w:val="single" w:sz="4" w:space="0" w:color="auto"/>
              <w:right w:val="single" w:sz="4" w:space="0" w:color="auto"/>
            </w:tcBorders>
            <w:shd w:val="clear" w:color="auto" w:fill="auto"/>
            <w:noWrap/>
            <w:vAlign w:val="bottom"/>
          </w:tcPr>
          <w:p w:rsidR="00856AB5" w:rsidRPr="002B683F" w:rsidRDefault="00856AB5" w:rsidP="00856AB5">
            <w:pPr>
              <w:jc w:val="right"/>
              <w:rPr>
                <w:rFonts w:ascii="Arial" w:hAnsi="Arial" w:cs="Arial"/>
                <w:b/>
                <w:bCs/>
                <w:sz w:val="20"/>
                <w:szCs w:val="20"/>
              </w:rPr>
            </w:pPr>
            <w:r w:rsidRPr="002B683F">
              <w:rPr>
                <w:rFonts w:ascii="Arial" w:hAnsi="Arial" w:cs="Arial"/>
                <w:b/>
                <w:bCs/>
                <w:sz w:val="20"/>
                <w:szCs w:val="20"/>
              </w:rPr>
              <w:t>Обща сума ПК</w:t>
            </w:r>
          </w:p>
        </w:tc>
        <w:tc>
          <w:tcPr>
            <w:tcW w:w="1260" w:type="dxa"/>
            <w:tcBorders>
              <w:top w:val="nil"/>
              <w:left w:val="nil"/>
              <w:bottom w:val="single" w:sz="4" w:space="0" w:color="auto"/>
              <w:right w:val="single" w:sz="4" w:space="0" w:color="auto"/>
            </w:tcBorders>
            <w:shd w:val="clear" w:color="auto" w:fill="auto"/>
            <w:noWrap/>
            <w:vAlign w:val="bottom"/>
          </w:tcPr>
          <w:p w:rsidR="00856AB5" w:rsidRPr="002B683F" w:rsidRDefault="00856AB5" w:rsidP="00856AB5">
            <w:pPr>
              <w:jc w:val="right"/>
              <w:rPr>
                <w:rFonts w:ascii="Arial" w:hAnsi="Arial" w:cs="Arial"/>
                <w:b/>
                <w:bCs/>
                <w:sz w:val="20"/>
                <w:szCs w:val="20"/>
              </w:rPr>
            </w:pPr>
            <w:r w:rsidRPr="002B683F">
              <w:rPr>
                <w:rFonts w:ascii="Arial" w:hAnsi="Arial" w:cs="Arial"/>
                <w:b/>
                <w:bCs/>
                <w:sz w:val="20"/>
                <w:szCs w:val="20"/>
              </w:rPr>
              <w:t>77 608</w:t>
            </w:r>
          </w:p>
        </w:tc>
        <w:tc>
          <w:tcPr>
            <w:tcW w:w="1080" w:type="dxa"/>
            <w:tcBorders>
              <w:top w:val="nil"/>
              <w:left w:val="nil"/>
              <w:bottom w:val="single" w:sz="4" w:space="0" w:color="auto"/>
              <w:right w:val="single" w:sz="4" w:space="0" w:color="auto"/>
            </w:tcBorders>
            <w:shd w:val="clear" w:color="auto" w:fill="auto"/>
            <w:noWrap/>
            <w:vAlign w:val="bottom"/>
          </w:tcPr>
          <w:p w:rsidR="00856AB5" w:rsidRPr="002B683F" w:rsidRDefault="00856AB5" w:rsidP="00856AB5">
            <w:pPr>
              <w:jc w:val="right"/>
              <w:rPr>
                <w:rFonts w:ascii="Arial" w:hAnsi="Arial" w:cs="Arial"/>
                <w:b/>
                <w:bCs/>
                <w:sz w:val="20"/>
                <w:szCs w:val="20"/>
              </w:rPr>
            </w:pPr>
            <w:r w:rsidRPr="002B683F">
              <w:rPr>
                <w:rFonts w:ascii="Arial" w:hAnsi="Arial" w:cs="Arial"/>
                <w:b/>
                <w:bCs/>
                <w:sz w:val="20"/>
                <w:szCs w:val="20"/>
              </w:rPr>
              <w:t>77 608</w:t>
            </w:r>
          </w:p>
        </w:tc>
        <w:tc>
          <w:tcPr>
            <w:tcW w:w="1080" w:type="dxa"/>
            <w:tcBorders>
              <w:top w:val="single" w:sz="4" w:space="0" w:color="auto"/>
              <w:left w:val="nil"/>
              <w:bottom w:val="single" w:sz="4" w:space="0" w:color="auto"/>
              <w:right w:val="single" w:sz="4" w:space="0" w:color="auto"/>
            </w:tcBorders>
            <w:shd w:val="clear" w:color="auto" w:fill="auto"/>
            <w:vAlign w:val="center"/>
          </w:tcPr>
          <w:p w:rsidR="00856AB5" w:rsidRPr="002B683F" w:rsidRDefault="00856AB5" w:rsidP="00856AB5">
            <w:pPr>
              <w:jc w:val="right"/>
              <w:rPr>
                <w:rFonts w:ascii="Arial" w:hAnsi="Arial" w:cs="Arial"/>
                <w:b/>
                <w:bCs/>
              </w:rPr>
            </w:pPr>
            <w:r w:rsidRPr="002B683F">
              <w:rPr>
                <w:rFonts w:ascii="Arial" w:hAnsi="Arial" w:cs="Arial"/>
                <w:b/>
                <w:bCs/>
              </w:rPr>
              <w:t>0</w:t>
            </w:r>
          </w:p>
        </w:tc>
        <w:tc>
          <w:tcPr>
            <w:tcW w:w="971" w:type="dxa"/>
            <w:tcBorders>
              <w:top w:val="single" w:sz="4" w:space="0" w:color="auto"/>
              <w:left w:val="nil"/>
              <w:bottom w:val="single" w:sz="4" w:space="0" w:color="auto"/>
              <w:right w:val="single" w:sz="4" w:space="0" w:color="auto"/>
            </w:tcBorders>
            <w:shd w:val="clear" w:color="auto" w:fill="auto"/>
            <w:noWrap/>
            <w:vAlign w:val="center"/>
          </w:tcPr>
          <w:p w:rsidR="00856AB5" w:rsidRPr="002B683F" w:rsidRDefault="00856AB5" w:rsidP="00856AB5">
            <w:pPr>
              <w:jc w:val="right"/>
              <w:rPr>
                <w:rFonts w:ascii="Arial" w:hAnsi="Arial" w:cs="Arial"/>
                <w:b/>
                <w:bCs/>
              </w:rPr>
            </w:pPr>
            <w:r w:rsidRPr="002B683F">
              <w:rPr>
                <w:rFonts w:ascii="Arial" w:hAnsi="Arial" w:cs="Arial"/>
                <w:b/>
                <w:bCs/>
              </w:rPr>
              <w:t>0</w:t>
            </w:r>
          </w:p>
        </w:tc>
        <w:tc>
          <w:tcPr>
            <w:tcW w:w="1387" w:type="dxa"/>
            <w:tcBorders>
              <w:top w:val="single" w:sz="4" w:space="0" w:color="auto"/>
              <w:left w:val="nil"/>
              <w:bottom w:val="single" w:sz="4" w:space="0" w:color="auto"/>
              <w:right w:val="single" w:sz="4" w:space="0" w:color="auto"/>
            </w:tcBorders>
            <w:shd w:val="clear" w:color="auto" w:fill="auto"/>
            <w:noWrap/>
            <w:vAlign w:val="center"/>
          </w:tcPr>
          <w:p w:rsidR="00856AB5" w:rsidRPr="002B683F" w:rsidRDefault="00856AB5" w:rsidP="00856AB5">
            <w:pPr>
              <w:jc w:val="right"/>
              <w:rPr>
                <w:rFonts w:ascii="Arial" w:hAnsi="Arial" w:cs="Arial"/>
                <w:b/>
                <w:bCs/>
              </w:rPr>
            </w:pPr>
            <w:r w:rsidRPr="002B683F">
              <w:rPr>
                <w:rFonts w:ascii="Arial" w:hAnsi="Arial" w:cs="Arial"/>
                <w:b/>
                <w:bCs/>
              </w:rPr>
              <w:t>0</w:t>
            </w:r>
          </w:p>
        </w:tc>
      </w:tr>
    </w:tbl>
    <w:p w:rsidR="00E7571B" w:rsidRPr="002B683F" w:rsidRDefault="00430B05" w:rsidP="00DD435E">
      <w:pPr>
        <w:spacing w:before="240" w:after="120"/>
        <w:ind w:firstLine="709"/>
        <w:jc w:val="both"/>
      </w:pPr>
      <w:r w:rsidRPr="002B683F">
        <w:rPr>
          <w:szCs w:val="26"/>
        </w:rPr>
        <w:t>Краткосрочните задължения към доставчици и клиенти, отчетени към 31.12.2019 г. възлизат на 78 хил.</w:t>
      </w:r>
      <w:r w:rsidR="00BB77A4" w:rsidRPr="002B683F">
        <w:rPr>
          <w:szCs w:val="26"/>
        </w:rPr>
        <w:t xml:space="preserve"> </w:t>
      </w:r>
      <w:r w:rsidRPr="002B683F">
        <w:rPr>
          <w:szCs w:val="26"/>
        </w:rPr>
        <w:t>лв. Фирмите, на които дружеството дължи суми над хиляда лева, са посочени в горната таблица, като техния относителен размер е 96% от общите задължения към контрагенти</w:t>
      </w:r>
      <w:r w:rsidR="002702A5" w:rsidRPr="002B683F">
        <w:rPr>
          <w:szCs w:val="26"/>
        </w:rPr>
        <w:t>.</w:t>
      </w:r>
    </w:p>
    <w:p w:rsidR="00E7571B" w:rsidRPr="002B683F" w:rsidRDefault="00E7571B" w:rsidP="00E7571B">
      <w:pPr>
        <w:ind w:firstLine="851"/>
        <w:jc w:val="both"/>
      </w:pPr>
      <w:r w:rsidRPr="002B683F">
        <w:t xml:space="preserve">Задълженията на “Пристанищен комплекс-Русе” ЕАД </w:t>
      </w:r>
      <w:r w:rsidR="00DE4974" w:rsidRPr="002B683F">
        <w:t>към</w:t>
      </w:r>
      <w:r w:rsidRPr="002B683F">
        <w:t xml:space="preserve"> </w:t>
      </w:r>
      <w:r w:rsidR="006F77AE" w:rsidRPr="002B683F">
        <w:t xml:space="preserve">края на </w:t>
      </w:r>
      <w:r w:rsidRPr="002B683F">
        <w:t>месец декември 20</w:t>
      </w:r>
      <w:r w:rsidR="006F77AE" w:rsidRPr="002B683F">
        <w:t>1</w:t>
      </w:r>
      <w:r w:rsidR="00856AB5" w:rsidRPr="002B683F">
        <w:t>8</w:t>
      </w:r>
      <w:r w:rsidR="008678A8" w:rsidRPr="002B683F">
        <w:t xml:space="preserve"> </w:t>
      </w:r>
      <w:r w:rsidRPr="002B683F">
        <w:t xml:space="preserve">г. </w:t>
      </w:r>
      <w:r w:rsidR="005A1ECC" w:rsidRPr="002B683F">
        <w:t>към</w:t>
      </w:r>
      <w:r w:rsidRPr="002B683F">
        <w:t xml:space="preserve"> доставчици</w:t>
      </w:r>
      <w:r w:rsidR="008678A8" w:rsidRPr="002B683F">
        <w:t xml:space="preserve"> и клиенти</w:t>
      </w:r>
      <w:r w:rsidRPr="002B683F">
        <w:t xml:space="preserve"> с вземания над 1</w:t>
      </w:r>
      <w:r w:rsidR="008678A8" w:rsidRPr="002B683F">
        <w:t xml:space="preserve"> </w:t>
      </w:r>
      <w:r w:rsidRPr="002B683F">
        <w:t>000 лв. са били следните:</w:t>
      </w:r>
    </w:p>
    <w:p w:rsidR="00D17BBE" w:rsidRPr="002B683F" w:rsidRDefault="00D17BBE" w:rsidP="00E7571B">
      <w:pPr>
        <w:ind w:firstLine="851"/>
        <w:jc w:val="both"/>
      </w:pPr>
    </w:p>
    <w:p w:rsidR="00E7571B" w:rsidRPr="002B683F" w:rsidRDefault="00E7571B" w:rsidP="00E7571B">
      <w:pPr>
        <w:spacing w:after="120"/>
        <w:ind w:firstLine="709"/>
        <w:jc w:val="both"/>
      </w:pPr>
    </w:p>
    <w:tbl>
      <w:tblPr>
        <w:tblW w:w="6663" w:type="dxa"/>
        <w:jc w:val="center"/>
        <w:tblCellMar>
          <w:left w:w="70" w:type="dxa"/>
          <w:right w:w="70" w:type="dxa"/>
        </w:tblCellMar>
        <w:tblLook w:val="0000" w:firstRow="0" w:lastRow="0" w:firstColumn="0" w:lastColumn="0" w:noHBand="0" w:noVBand="0"/>
      </w:tblPr>
      <w:tblGrid>
        <w:gridCol w:w="459"/>
        <w:gridCol w:w="4077"/>
        <w:gridCol w:w="2127"/>
      </w:tblGrid>
      <w:tr w:rsidR="006F77AE" w:rsidRPr="002B683F" w:rsidTr="00DE2C19">
        <w:trPr>
          <w:trHeight w:val="427"/>
          <w:jc w:val="center"/>
        </w:trPr>
        <w:tc>
          <w:tcPr>
            <w:tcW w:w="459" w:type="dxa"/>
            <w:tcBorders>
              <w:top w:val="single" w:sz="4" w:space="0" w:color="auto"/>
              <w:left w:val="single" w:sz="4" w:space="0" w:color="auto"/>
              <w:bottom w:val="single" w:sz="4" w:space="0" w:color="auto"/>
              <w:right w:val="single" w:sz="4" w:space="0" w:color="auto"/>
            </w:tcBorders>
            <w:vAlign w:val="center"/>
          </w:tcPr>
          <w:p w:rsidR="006F77AE" w:rsidRPr="002B683F" w:rsidRDefault="006F77AE" w:rsidP="006F77AE">
            <w:pPr>
              <w:jc w:val="center"/>
            </w:pPr>
            <w:r w:rsidRPr="002B683F">
              <w:t>№</w:t>
            </w:r>
          </w:p>
        </w:tc>
        <w:tc>
          <w:tcPr>
            <w:tcW w:w="4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7AE" w:rsidRPr="002B683F" w:rsidRDefault="006F77AE" w:rsidP="009163A8">
            <w:pPr>
              <w:jc w:val="center"/>
              <w:rPr>
                <w:b/>
                <w:bCs/>
              </w:rPr>
            </w:pPr>
            <w:r w:rsidRPr="002B683F">
              <w:rPr>
                <w:b/>
                <w:bCs/>
              </w:rPr>
              <w:t>К</w:t>
            </w:r>
            <w:r w:rsidR="009163A8" w:rsidRPr="002B683F">
              <w:rPr>
                <w:b/>
                <w:bCs/>
              </w:rPr>
              <w:t>онтрагенти</w:t>
            </w:r>
          </w:p>
        </w:tc>
        <w:tc>
          <w:tcPr>
            <w:tcW w:w="2127" w:type="dxa"/>
            <w:tcBorders>
              <w:top w:val="single" w:sz="4" w:space="0" w:color="auto"/>
              <w:left w:val="nil"/>
              <w:bottom w:val="single" w:sz="4" w:space="0" w:color="auto"/>
              <w:right w:val="single" w:sz="4" w:space="0" w:color="auto"/>
            </w:tcBorders>
            <w:shd w:val="clear" w:color="auto" w:fill="auto"/>
            <w:vAlign w:val="center"/>
          </w:tcPr>
          <w:p w:rsidR="006F77AE" w:rsidRPr="002B683F" w:rsidRDefault="006F77AE" w:rsidP="000500B4">
            <w:pPr>
              <w:jc w:val="center"/>
              <w:rPr>
                <w:b/>
                <w:bCs/>
              </w:rPr>
            </w:pPr>
            <w:r w:rsidRPr="002B683F">
              <w:rPr>
                <w:b/>
                <w:bCs/>
              </w:rPr>
              <w:t>салдо 31.12.201</w:t>
            </w:r>
            <w:r w:rsidR="00856AB5" w:rsidRPr="002B683F">
              <w:rPr>
                <w:b/>
                <w:bCs/>
              </w:rPr>
              <w:t>8</w:t>
            </w:r>
          </w:p>
        </w:tc>
      </w:tr>
      <w:tr w:rsidR="004C41F9" w:rsidRPr="00545A61" w:rsidTr="00DE2C19">
        <w:trPr>
          <w:trHeight w:val="300"/>
          <w:jc w:val="center"/>
        </w:trPr>
        <w:tc>
          <w:tcPr>
            <w:tcW w:w="459" w:type="dxa"/>
            <w:tcBorders>
              <w:top w:val="single" w:sz="4" w:space="0" w:color="auto"/>
              <w:left w:val="single" w:sz="4" w:space="0" w:color="auto"/>
              <w:bottom w:val="single" w:sz="4" w:space="0" w:color="auto"/>
              <w:right w:val="single" w:sz="4" w:space="0" w:color="auto"/>
            </w:tcBorders>
            <w:shd w:val="clear" w:color="auto" w:fill="auto"/>
            <w:vAlign w:val="bottom"/>
          </w:tcPr>
          <w:p w:rsidR="004C41F9" w:rsidRPr="00545A61" w:rsidRDefault="004C41F9" w:rsidP="004C41F9">
            <w:pPr>
              <w:jc w:val="center"/>
              <w:rPr>
                <w:rFonts w:ascii="Arial" w:hAnsi="Arial" w:cs="Arial"/>
                <w:sz w:val="20"/>
                <w:szCs w:val="20"/>
                <w:lang w:eastAsia="bg-BG"/>
              </w:rPr>
            </w:pPr>
            <w:r w:rsidRPr="00545A61">
              <w:rPr>
                <w:rFonts w:ascii="Arial" w:hAnsi="Arial" w:cs="Arial"/>
                <w:sz w:val="20"/>
                <w:szCs w:val="20"/>
              </w:rPr>
              <w:t>1</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4C41F9" w:rsidRPr="00545A61" w:rsidRDefault="004C41F9" w:rsidP="004C41F9">
            <w:pPr>
              <w:rPr>
                <w:rFonts w:ascii="Arial" w:hAnsi="Arial" w:cs="Arial"/>
                <w:sz w:val="20"/>
                <w:szCs w:val="20"/>
                <w:lang w:eastAsia="bg-BG"/>
              </w:rPr>
            </w:pPr>
            <w:r w:rsidRPr="00545A61">
              <w:rPr>
                <w:rFonts w:ascii="Arial" w:hAnsi="Arial" w:cs="Arial"/>
                <w:sz w:val="20"/>
                <w:szCs w:val="20"/>
              </w:rPr>
              <w:t>"АСОП - ЩИТ" ЕООД</w:t>
            </w:r>
          </w:p>
        </w:tc>
        <w:tc>
          <w:tcPr>
            <w:tcW w:w="2127" w:type="dxa"/>
            <w:tcBorders>
              <w:top w:val="single" w:sz="4" w:space="0" w:color="auto"/>
              <w:left w:val="nil"/>
              <w:bottom w:val="single" w:sz="4" w:space="0" w:color="auto"/>
              <w:right w:val="single" w:sz="4" w:space="0" w:color="auto"/>
            </w:tcBorders>
            <w:shd w:val="clear" w:color="auto" w:fill="auto"/>
            <w:noWrap/>
            <w:vAlign w:val="bottom"/>
          </w:tcPr>
          <w:p w:rsidR="004C41F9" w:rsidRPr="00545A61" w:rsidRDefault="004C41F9" w:rsidP="004C41F9">
            <w:pPr>
              <w:jc w:val="right"/>
              <w:rPr>
                <w:rFonts w:ascii="Arial" w:hAnsi="Arial" w:cs="Arial"/>
                <w:sz w:val="20"/>
                <w:szCs w:val="20"/>
                <w:lang w:eastAsia="bg-BG"/>
              </w:rPr>
            </w:pPr>
            <w:r w:rsidRPr="00545A61">
              <w:rPr>
                <w:rFonts w:ascii="Arial" w:hAnsi="Arial" w:cs="Arial"/>
                <w:sz w:val="20"/>
                <w:szCs w:val="20"/>
              </w:rPr>
              <w:t>36 842</w:t>
            </w:r>
          </w:p>
        </w:tc>
      </w:tr>
      <w:tr w:rsidR="004C41F9" w:rsidRPr="00545A61" w:rsidTr="00DE2C19">
        <w:trPr>
          <w:trHeight w:val="300"/>
          <w:jc w:val="center"/>
        </w:trPr>
        <w:tc>
          <w:tcPr>
            <w:tcW w:w="459" w:type="dxa"/>
            <w:tcBorders>
              <w:top w:val="nil"/>
              <w:left w:val="single" w:sz="4" w:space="0" w:color="auto"/>
              <w:bottom w:val="single" w:sz="4" w:space="0" w:color="auto"/>
              <w:right w:val="single" w:sz="4" w:space="0" w:color="auto"/>
            </w:tcBorders>
            <w:shd w:val="clear" w:color="auto" w:fill="auto"/>
            <w:vAlign w:val="bottom"/>
          </w:tcPr>
          <w:p w:rsidR="004C41F9" w:rsidRPr="00545A61" w:rsidRDefault="004C41F9" w:rsidP="004C41F9">
            <w:pPr>
              <w:jc w:val="center"/>
              <w:rPr>
                <w:rFonts w:ascii="Arial" w:hAnsi="Arial" w:cs="Arial"/>
                <w:sz w:val="20"/>
                <w:szCs w:val="20"/>
              </w:rPr>
            </w:pPr>
            <w:r w:rsidRPr="00545A61">
              <w:rPr>
                <w:rFonts w:ascii="Arial" w:hAnsi="Arial" w:cs="Arial"/>
                <w:sz w:val="20"/>
                <w:szCs w:val="20"/>
              </w:rPr>
              <w:t>2</w:t>
            </w:r>
          </w:p>
        </w:tc>
        <w:tc>
          <w:tcPr>
            <w:tcW w:w="4077" w:type="dxa"/>
            <w:tcBorders>
              <w:top w:val="nil"/>
              <w:left w:val="nil"/>
              <w:bottom w:val="single" w:sz="4" w:space="0" w:color="auto"/>
              <w:right w:val="single" w:sz="4" w:space="0" w:color="auto"/>
            </w:tcBorders>
            <w:shd w:val="clear" w:color="auto" w:fill="auto"/>
            <w:noWrap/>
            <w:vAlign w:val="bottom"/>
          </w:tcPr>
          <w:p w:rsidR="004C41F9" w:rsidRPr="00545A61" w:rsidRDefault="004C41F9" w:rsidP="004C41F9">
            <w:pPr>
              <w:rPr>
                <w:rFonts w:ascii="Arial" w:hAnsi="Arial" w:cs="Arial"/>
                <w:sz w:val="20"/>
                <w:szCs w:val="20"/>
              </w:rPr>
            </w:pPr>
            <w:r w:rsidRPr="00545A61">
              <w:rPr>
                <w:rFonts w:ascii="Arial" w:hAnsi="Arial" w:cs="Arial"/>
                <w:sz w:val="20"/>
                <w:szCs w:val="20"/>
              </w:rPr>
              <w:t>"РИТЪМ-4 ТБ" ООД</w:t>
            </w:r>
          </w:p>
        </w:tc>
        <w:tc>
          <w:tcPr>
            <w:tcW w:w="2127" w:type="dxa"/>
            <w:tcBorders>
              <w:top w:val="nil"/>
              <w:left w:val="nil"/>
              <w:bottom w:val="single" w:sz="4" w:space="0" w:color="auto"/>
              <w:right w:val="single" w:sz="4" w:space="0" w:color="auto"/>
            </w:tcBorders>
            <w:shd w:val="clear" w:color="auto" w:fill="auto"/>
            <w:noWrap/>
            <w:vAlign w:val="bottom"/>
          </w:tcPr>
          <w:p w:rsidR="004C41F9" w:rsidRPr="00545A61" w:rsidRDefault="004C41F9" w:rsidP="004C41F9">
            <w:pPr>
              <w:jc w:val="right"/>
              <w:rPr>
                <w:rFonts w:ascii="Arial" w:hAnsi="Arial" w:cs="Arial"/>
                <w:sz w:val="20"/>
                <w:szCs w:val="20"/>
              </w:rPr>
            </w:pPr>
            <w:r w:rsidRPr="00545A61">
              <w:rPr>
                <w:rFonts w:ascii="Arial" w:hAnsi="Arial" w:cs="Arial"/>
                <w:sz w:val="20"/>
                <w:szCs w:val="20"/>
              </w:rPr>
              <w:t>29 358</w:t>
            </w:r>
          </w:p>
        </w:tc>
      </w:tr>
      <w:tr w:rsidR="004C41F9" w:rsidRPr="00545A61" w:rsidTr="00DE2C19">
        <w:trPr>
          <w:trHeight w:val="300"/>
          <w:jc w:val="center"/>
        </w:trPr>
        <w:tc>
          <w:tcPr>
            <w:tcW w:w="459" w:type="dxa"/>
            <w:tcBorders>
              <w:top w:val="nil"/>
              <w:left w:val="single" w:sz="4" w:space="0" w:color="auto"/>
              <w:bottom w:val="single" w:sz="4" w:space="0" w:color="auto"/>
              <w:right w:val="single" w:sz="4" w:space="0" w:color="auto"/>
            </w:tcBorders>
            <w:shd w:val="clear" w:color="auto" w:fill="auto"/>
            <w:vAlign w:val="bottom"/>
          </w:tcPr>
          <w:p w:rsidR="004C41F9" w:rsidRPr="00545A61" w:rsidRDefault="004C41F9" w:rsidP="004C41F9">
            <w:pPr>
              <w:jc w:val="center"/>
              <w:rPr>
                <w:rFonts w:ascii="Arial" w:hAnsi="Arial" w:cs="Arial"/>
                <w:sz w:val="20"/>
                <w:szCs w:val="20"/>
              </w:rPr>
            </w:pPr>
            <w:r w:rsidRPr="00545A61">
              <w:rPr>
                <w:rFonts w:ascii="Arial" w:hAnsi="Arial" w:cs="Arial"/>
                <w:sz w:val="20"/>
                <w:szCs w:val="20"/>
              </w:rPr>
              <w:t>3</w:t>
            </w:r>
          </w:p>
        </w:tc>
        <w:tc>
          <w:tcPr>
            <w:tcW w:w="4077" w:type="dxa"/>
            <w:tcBorders>
              <w:top w:val="nil"/>
              <w:left w:val="nil"/>
              <w:bottom w:val="single" w:sz="4" w:space="0" w:color="auto"/>
              <w:right w:val="single" w:sz="4" w:space="0" w:color="auto"/>
            </w:tcBorders>
            <w:shd w:val="clear" w:color="auto" w:fill="auto"/>
            <w:noWrap/>
            <w:vAlign w:val="bottom"/>
          </w:tcPr>
          <w:p w:rsidR="004C41F9" w:rsidRPr="00545A61" w:rsidRDefault="004C41F9" w:rsidP="004C41F9">
            <w:pPr>
              <w:rPr>
                <w:rFonts w:ascii="Arial" w:hAnsi="Arial" w:cs="Arial"/>
                <w:sz w:val="20"/>
                <w:szCs w:val="20"/>
              </w:rPr>
            </w:pPr>
            <w:r w:rsidRPr="00545A61">
              <w:rPr>
                <w:rFonts w:ascii="Arial" w:hAnsi="Arial" w:cs="Arial"/>
                <w:sz w:val="20"/>
                <w:szCs w:val="20"/>
              </w:rPr>
              <w:t>"ТОПЛОФИКАЦИЯ РУСЕ" ЕАД</w:t>
            </w:r>
          </w:p>
        </w:tc>
        <w:tc>
          <w:tcPr>
            <w:tcW w:w="2127" w:type="dxa"/>
            <w:tcBorders>
              <w:top w:val="nil"/>
              <w:left w:val="nil"/>
              <w:bottom w:val="single" w:sz="4" w:space="0" w:color="auto"/>
              <w:right w:val="single" w:sz="4" w:space="0" w:color="auto"/>
            </w:tcBorders>
            <w:shd w:val="clear" w:color="auto" w:fill="auto"/>
            <w:noWrap/>
            <w:vAlign w:val="bottom"/>
          </w:tcPr>
          <w:p w:rsidR="004C41F9" w:rsidRPr="00545A61" w:rsidRDefault="004C41F9" w:rsidP="004C41F9">
            <w:pPr>
              <w:jc w:val="right"/>
              <w:rPr>
                <w:rFonts w:ascii="Arial" w:hAnsi="Arial" w:cs="Arial"/>
                <w:sz w:val="20"/>
                <w:szCs w:val="20"/>
              </w:rPr>
            </w:pPr>
            <w:r w:rsidRPr="00545A61">
              <w:rPr>
                <w:rFonts w:ascii="Arial" w:hAnsi="Arial" w:cs="Arial"/>
                <w:sz w:val="20"/>
                <w:szCs w:val="20"/>
              </w:rPr>
              <w:t>11 531</w:t>
            </w:r>
          </w:p>
        </w:tc>
      </w:tr>
      <w:tr w:rsidR="004C41F9" w:rsidRPr="00545A61" w:rsidTr="00DE2C19">
        <w:trPr>
          <w:trHeight w:val="300"/>
          <w:jc w:val="center"/>
        </w:trPr>
        <w:tc>
          <w:tcPr>
            <w:tcW w:w="459" w:type="dxa"/>
            <w:tcBorders>
              <w:top w:val="nil"/>
              <w:left w:val="single" w:sz="4" w:space="0" w:color="auto"/>
              <w:bottom w:val="single" w:sz="4" w:space="0" w:color="auto"/>
              <w:right w:val="single" w:sz="4" w:space="0" w:color="auto"/>
            </w:tcBorders>
            <w:shd w:val="clear" w:color="auto" w:fill="auto"/>
            <w:vAlign w:val="bottom"/>
          </w:tcPr>
          <w:p w:rsidR="004C41F9" w:rsidRPr="00545A61" w:rsidRDefault="004C41F9" w:rsidP="004C41F9">
            <w:pPr>
              <w:jc w:val="center"/>
              <w:rPr>
                <w:rFonts w:ascii="Arial" w:hAnsi="Arial" w:cs="Arial"/>
                <w:sz w:val="20"/>
                <w:szCs w:val="20"/>
              </w:rPr>
            </w:pPr>
            <w:r w:rsidRPr="00545A61">
              <w:rPr>
                <w:rFonts w:ascii="Arial" w:hAnsi="Arial" w:cs="Arial"/>
                <w:sz w:val="20"/>
                <w:szCs w:val="20"/>
              </w:rPr>
              <w:t>4</w:t>
            </w:r>
          </w:p>
        </w:tc>
        <w:tc>
          <w:tcPr>
            <w:tcW w:w="4077" w:type="dxa"/>
            <w:tcBorders>
              <w:top w:val="nil"/>
              <w:left w:val="nil"/>
              <w:bottom w:val="single" w:sz="4" w:space="0" w:color="auto"/>
              <w:right w:val="single" w:sz="4" w:space="0" w:color="auto"/>
            </w:tcBorders>
            <w:shd w:val="clear" w:color="auto" w:fill="auto"/>
            <w:noWrap/>
            <w:vAlign w:val="bottom"/>
          </w:tcPr>
          <w:p w:rsidR="004C41F9" w:rsidRPr="00545A61" w:rsidRDefault="004C41F9" w:rsidP="004C41F9">
            <w:pPr>
              <w:rPr>
                <w:rFonts w:ascii="Arial" w:hAnsi="Arial" w:cs="Arial"/>
                <w:sz w:val="20"/>
                <w:szCs w:val="20"/>
              </w:rPr>
            </w:pPr>
            <w:r w:rsidRPr="00545A61">
              <w:rPr>
                <w:rFonts w:ascii="Arial" w:hAnsi="Arial" w:cs="Arial"/>
                <w:sz w:val="20"/>
                <w:szCs w:val="20"/>
              </w:rPr>
              <w:t>"ПРИМЕКС" ЕООД</w:t>
            </w:r>
          </w:p>
        </w:tc>
        <w:tc>
          <w:tcPr>
            <w:tcW w:w="2127" w:type="dxa"/>
            <w:tcBorders>
              <w:top w:val="nil"/>
              <w:left w:val="nil"/>
              <w:bottom w:val="single" w:sz="4" w:space="0" w:color="auto"/>
              <w:right w:val="single" w:sz="4" w:space="0" w:color="auto"/>
            </w:tcBorders>
            <w:shd w:val="clear" w:color="auto" w:fill="auto"/>
            <w:noWrap/>
            <w:vAlign w:val="bottom"/>
          </w:tcPr>
          <w:p w:rsidR="004C41F9" w:rsidRPr="00545A61" w:rsidRDefault="004C41F9" w:rsidP="004C41F9">
            <w:pPr>
              <w:jc w:val="right"/>
              <w:rPr>
                <w:rFonts w:ascii="Arial" w:hAnsi="Arial" w:cs="Arial"/>
                <w:sz w:val="20"/>
                <w:szCs w:val="20"/>
              </w:rPr>
            </w:pPr>
            <w:r w:rsidRPr="00545A61">
              <w:rPr>
                <w:rFonts w:ascii="Arial" w:hAnsi="Arial" w:cs="Arial"/>
                <w:sz w:val="20"/>
                <w:szCs w:val="20"/>
              </w:rPr>
              <w:t>1 324</w:t>
            </w:r>
          </w:p>
        </w:tc>
      </w:tr>
      <w:tr w:rsidR="004C41F9" w:rsidRPr="00545A61" w:rsidTr="00DE2C19">
        <w:trPr>
          <w:trHeight w:val="300"/>
          <w:jc w:val="center"/>
        </w:trPr>
        <w:tc>
          <w:tcPr>
            <w:tcW w:w="459" w:type="dxa"/>
            <w:tcBorders>
              <w:top w:val="nil"/>
              <w:left w:val="single" w:sz="4" w:space="0" w:color="auto"/>
              <w:bottom w:val="single" w:sz="4" w:space="0" w:color="auto"/>
              <w:right w:val="single" w:sz="4" w:space="0" w:color="auto"/>
            </w:tcBorders>
            <w:shd w:val="clear" w:color="auto" w:fill="auto"/>
            <w:vAlign w:val="bottom"/>
          </w:tcPr>
          <w:p w:rsidR="004C41F9" w:rsidRPr="00545A61" w:rsidRDefault="004C41F9" w:rsidP="004C41F9">
            <w:pPr>
              <w:jc w:val="center"/>
              <w:rPr>
                <w:rFonts w:ascii="Arial" w:hAnsi="Arial" w:cs="Arial"/>
                <w:sz w:val="20"/>
                <w:szCs w:val="20"/>
              </w:rPr>
            </w:pPr>
          </w:p>
        </w:tc>
        <w:tc>
          <w:tcPr>
            <w:tcW w:w="4077" w:type="dxa"/>
            <w:tcBorders>
              <w:top w:val="nil"/>
              <w:left w:val="nil"/>
              <w:bottom w:val="single" w:sz="4" w:space="0" w:color="auto"/>
              <w:right w:val="single" w:sz="4" w:space="0" w:color="auto"/>
            </w:tcBorders>
            <w:shd w:val="clear" w:color="auto" w:fill="auto"/>
            <w:noWrap/>
            <w:vAlign w:val="bottom"/>
          </w:tcPr>
          <w:p w:rsidR="004C41F9" w:rsidRPr="00545A61" w:rsidRDefault="004C41F9" w:rsidP="004C41F9">
            <w:pPr>
              <w:rPr>
                <w:rFonts w:ascii="Arial" w:hAnsi="Arial" w:cs="Arial"/>
                <w:sz w:val="20"/>
                <w:szCs w:val="20"/>
              </w:rPr>
            </w:pPr>
            <w:r w:rsidRPr="00545A61">
              <w:rPr>
                <w:rFonts w:ascii="Arial" w:hAnsi="Arial" w:cs="Arial"/>
                <w:sz w:val="20"/>
                <w:szCs w:val="20"/>
              </w:rPr>
              <w:t>От 412</w:t>
            </w:r>
          </w:p>
        </w:tc>
        <w:tc>
          <w:tcPr>
            <w:tcW w:w="2127" w:type="dxa"/>
            <w:tcBorders>
              <w:top w:val="nil"/>
              <w:left w:val="nil"/>
              <w:bottom w:val="single" w:sz="4" w:space="0" w:color="auto"/>
              <w:right w:val="single" w:sz="4" w:space="0" w:color="auto"/>
            </w:tcBorders>
            <w:shd w:val="clear" w:color="auto" w:fill="auto"/>
            <w:noWrap/>
            <w:vAlign w:val="bottom"/>
          </w:tcPr>
          <w:p w:rsidR="004C41F9" w:rsidRPr="00545A61" w:rsidRDefault="004C41F9" w:rsidP="004C41F9">
            <w:pPr>
              <w:jc w:val="right"/>
              <w:rPr>
                <w:rFonts w:ascii="Arial" w:hAnsi="Arial" w:cs="Arial"/>
                <w:sz w:val="20"/>
                <w:szCs w:val="20"/>
              </w:rPr>
            </w:pPr>
            <w:r w:rsidRPr="00545A61">
              <w:rPr>
                <w:rFonts w:ascii="Arial" w:hAnsi="Arial" w:cs="Arial"/>
                <w:sz w:val="20"/>
                <w:szCs w:val="20"/>
              </w:rPr>
              <w:t>15 203</w:t>
            </w:r>
          </w:p>
        </w:tc>
      </w:tr>
      <w:tr w:rsidR="004C41F9" w:rsidRPr="00545A61" w:rsidTr="00DE2C19">
        <w:trPr>
          <w:trHeight w:val="300"/>
          <w:jc w:val="center"/>
        </w:trPr>
        <w:tc>
          <w:tcPr>
            <w:tcW w:w="459" w:type="dxa"/>
            <w:tcBorders>
              <w:top w:val="nil"/>
              <w:left w:val="single" w:sz="4" w:space="0" w:color="auto"/>
              <w:bottom w:val="single" w:sz="4" w:space="0" w:color="auto"/>
              <w:right w:val="single" w:sz="4" w:space="0" w:color="auto"/>
            </w:tcBorders>
            <w:shd w:val="clear" w:color="auto" w:fill="auto"/>
            <w:vAlign w:val="bottom"/>
          </w:tcPr>
          <w:p w:rsidR="004C41F9" w:rsidRPr="00545A61" w:rsidRDefault="004C41F9" w:rsidP="004C41F9">
            <w:pPr>
              <w:jc w:val="center"/>
              <w:rPr>
                <w:rFonts w:ascii="Arial" w:hAnsi="Arial" w:cs="Arial"/>
                <w:sz w:val="20"/>
                <w:szCs w:val="20"/>
              </w:rPr>
            </w:pPr>
          </w:p>
        </w:tc>
        <w:tc>
          <w:tcPr>
            <w:tcW w:w="4077" w:type="dxa"/>
            <w:tcBorders>
              <w:top w:val="nil"/>
              <w:left w:val="nil"/>
              <w:bottom w:val="single" w:sz="4" w:space="0" w:color="auto"/>
              <w:right w:val="single" w:sz="4" w:space="0" w:color="auto"/>
            </w:tcBorders>
            <w:shd w:val="clear" w:color="auto" w:fill="auto"/>
            <w:noWrap/>
            <w:vAlign w:val="bottom"/>
          </w:tcPr>
          <w:p w:rsidR="004C41F9" w:rsidRPr="00545A61" w:rsidRDefault="004C41F9" w:rsidP="004C41F9">
            <w:pPr>
              <w:rPr>
                <w:rFonts w:ascii="Arial" w:hAnsi="Arial" w:cs="Arial"/>
                <w:sz w:val="20"/>
                <w:szCs w:val="20"/>
              </w:rPr>
            </w:pPr>
            <w:r w:rsidRPr="00545A61">
              <w:rPr>
                <w:rFonts w:ascii="Arial" w:hAnsi="Arial" w:cs="Arial"/>
                <w:sz w:val="20"/>
                <w:szCs w:val="20"/>
              </w:rPr>
              <w:t xml:space="preserve">Други </w:t>
            </w:r>
          </w:p>
        </w:tc>
        <w:tc>
          <w:tcPr>
            <w:tcW w:w="2127" w:type="dxa"/>
            <w:tcBorders>
              <w:top w:val="nil"/>
              <w:left w:val="nil"/>
              <w:bottom w:val="single" w:sz="4" w:space="0" w:color="auto"/>
              <w:right w:val="single" w:sz="4" w:space="0" w:color="auto"/>
            </w:tcBorders>
            <w:shd w:val="clear" w:color="auto" w:fill="auto"/>
            <w:noWrap/>
            <w:vAlign w:val="center"/>
          </w:tcPr>
          <w:p w:rsidR="004C41F9" w:rsidRPr="00545A61" w:rsidRDefault="004C41F9" w:rsidP="004C41F9">
            <w:pPr>
              <w:jc w:val="right"/>
              <w:rPr>
                <w:rFonts w:ascii="Arial" w:hAnsi="Arial" w:cs="Arial"/>
                <w:sz w:val="20"/>
                <w:szCs w:val="20"/>
                <w:lang w:eastAsia="bg-BG"/>
              </w:rPr>
            </w:pPr>
            <w:r w:rsidRPr="00545A61">
              <w:rPr>
                <w:rFonts w:ascii="Arial" w:hAnsi="Arial" w:cs="Arial"/>
                <w:sz w:val="20"/>
                <w:szCs w:val="20"/>
              </w:rPr>
              <w:t>2 845</w:t>
            </w:r>
          </w:p>
        </w:tc>
      </w:tr>
      <w:tr w:rsidR="00856AB5" w:rsidRPr="00545A61" w:rsidTr="00DE2C19">
        <w:trPr>
          <w:trHeight w:val="399"/>
          <w:jc w:val="center"/>
        </w:trPr>
        <w:tc>
          <w:tcPr>
            <w:tcW w:w="459" w:type="dxa"/>
            <w:tcBorders>
              <w:top w:val="single" w:sz="4" w:space="0" w:color="auto"/>
              <w:left w:val="single" w:sz="4" w:space="0" w:color="auto"/>
              <w:bottom w:val="single" w:sz="4" w:space="0" w:color="auto"/>
              <w:right w:val="single" w:sz="4" w:space="0" w:color="auto"/>
            </w:tcBorders>
            <w:vAlign w:val="bottom"/>
          </w:tcPr>
          <w:p w:rsidR="00856AB5" w:rsidRPr="00545A61" w:rsidRDefault="00856AB5" w:rsidP="00856AB5">
            <w:pPr>
              <w:jc w:val="center"/>
              <w:rPr>
                <w:rFonts w:ascii="Arial" w:hAnsi="Arial" w:cs="Arial"/>
                <w:sz w:val="20"/>
                <w:szCs w:val="20"/>
                <w:lang w:val="en-US"/>
              </w:rPr>
            </w:pPr>
          </w:p>
        </w:tc>
        <w:tc>
          <w:tcPr>
            <w:tcW w:w="40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6AB5" w:rsidRPr="00545A61" w:rsidRDefault="00856AB5" w:rsidP="00856AB5">
            <w:pPr>
              <w:rPr>
                <w:rFonts w:ascii="Arial" w:hAnsi="Arial" w:cs="Arial"/>
                <w:b/>
                <w:bCs/>
                <w:sz w:val="20"/>
                <w:szCs w:val="20"/>
              </w:rPr>
            </w:pPr>
            <w:r w:rsidRPr="00545A61">
              <w:rPr>
                <w:rFonts w:ascii="Arial" w:hAnsi="Arial" w:cs="Arial"/>
                <w:b/>
                <w:bCs/>
                <w:sz w:val="20"/>
                <w:szCs w:val="20"/>
              </w:rPr>
              <w:t>Обща сума ПК</w:t>
            </w:r>
          </w:p>
        </w:tc>
        <w:tc>
          <w:tcPr>
            <w:tcW w:w="2127" w:type="dxa"/>
            <w:tcBorders>
              <w:top w:val="single" w:sz="4" w:space="0" w:color="auto"/>
              <w:left w:val="nil"/>
              <w:bottom w:val="single" w:sz="4" w:space="0" w:color="auto"/>
              <w:right w:val="single" w:sz="4" w:space="0" w:color="auto"/>
            </w:tcBorders>
            <w:shd w:val="clear" w:color="auto" w:fill="auto"/>
            <w:noWrap/>
            <w:vAlign w:val="bottom"/>
          </w:tcPr>
          <w:p w:rsidR="00856AB5" w:rsidRPr="00545A61" w:rsidRDefault="004C41F9" w:rsidP="00856AB5">
            <w:pPr>
              <w:jc w:val="right"/>
              <w:rPr>
                <w:rFonts w:ascii="Arial" w:hAnsi="Arial" w:cs="Arial"/>
                <w:b/>
                <w:bCs/>
                <w:sz w:val="20"/>
                <w:szCs w:val="20"/>
              </w:rPr>
            </w:pPr>
            <w:r w:rsidRPr="00545A61">
              <w:rPr>
                <w:rFonts w:ascii="Arial" w:hAnsi="Arial" w:cs="Arial"/>
                <w:b/>
                <w:bCs/>
                <w:sz w:val="20"/>
                <w:szCs w:val="20"/>
              </w:rPr>
              <w:t>97 103</w:t>
            </w:r>
          </w:p>
        </w:tc>
      </w:tr>
    </w:tbl>
    <w:p w:rsidR="009C3628" w:rsidRPr="00545A61" w:rsidRDefault="009C3628" w:rsidP="0035774F">
      <w:pPr>
        <w:pStyle w:val="BodyText"/>
        <w:rPr>
          <w:rFonts w:ascii="Arial" w:hAnsi="Arial" w:cs="Arial"/>
          <w:sz w:val="20"/>
          <w:szCs w:val="20"/>
        </w:rPr>
      </w:pPr>
    </w:p>
    <w:p w:rsidR="006A52D1" w:rsidRPr="003D5468" w:rsidRDefault="006A52D1" w:rsidP="00DD76F5">
      <w:pPr>
        <w:pStyle w:val="Heading1"/>
        <w:numPr>
          <w:ilvl w:val="0"/>
          <w:numId w:val="2"/>
        </w:numPr>
        <w:tabs>
          <w:tab w:val="clear" w:pos="720"/>
          <w:tab w:val="num" w:pos="1080"/>
          <w:tab w:val="num" w:pos="3196"/>
        </w:tabs>
        <w:spacing w:after="120"/>
        <w:ind w:left="714" w:hanging="357"/>
        <w:jc w:val="center"/>
        <w:rPr>
          <w:rFonts w:ascii="Times New Roman" w:hAnsi="Times New Roman"/>
          <w:sz w:val="24"/>
        </w:rPr>
      </w:pPr>
      <w:bookmarkStart w:id="114" w:name="_Toc288478124"/>
      <w:bookmarkStart w:id="115" w:name="_Toc40777308"/>
      <w:r w:rsidRPr="003D5468">
        <w:rPr>
          <w:rFonts w:ascii="Times New Roman" w:hAnsi="Times New Roman"/>
          <w:sz w:val="24"/>
        </w:rPr>
        <w:lastRenderedPageBreak/>
        <w:t>ПАЗАРНИ ПЕРСПЕКТИВИ ЗА 201</w:t>
      </w:r>
      <w:r w:rsidR="00DD530A" w:rsidRPr="003D5468">
        <w:rPr>
          <w:rFonts w:ascii="Times New Roman" w:hAnsi="Times New Roman"/>
          <w:sz w:val="24"/>
        </w:rPr>
        <w:t>9</w:t>
      </w:r>
      <w:r w:rsidRPr="003D5468">
        <w:rPr>
          <w:rFonts w:ascii="Times New Roman" w:hAnsi="Times New Roman"/>
          <w:sz w:val="24"/>
        </w:rPr>
        <w:t xml:space="preserve"> г.</w:t>
      </w:r>
      <w:bookmarkEnd w:id="114"/>
      <w:bookmarkEnd w:id="115"/>
    </w:p>
    <w:p w:rsidR="00DD530A" w:rsidRPr="003D5468" w:rsidRDefault="00DD530A" w:rsidP="00DD530A">
      <w:pPr>
        <w:pStyle w:val="BodyTextIndent"/>
        <w:spacing w:after="120"/>
        <w:ind w:firstLine="851"/>
        <w:rPr>
          <w:color w:val="000000"/>
          <w:sz w:val="26"/>
          <w:szCs w:val="26"/>
          <w:lang w:val="en-US"/>
        </w:rPr>
      </w:pPr>
      <w:r w:rsidRPr="003D5468">
        <w:rPr>
          <w:rFonts w:eastAsia="Times New Roman"/>
          <w:lang w:eastAsia="bg-BG"/>
        </w:rPr>
        <w:t>През 201</w:t>
      </w:r>
      <w:r w:rsidRPr="003D5468">
        <w:rPr>
          <w:rFonts w:eastAsia="Times New Roman"/>
          <w:lang w:val="en-US" w:eastAsia="bg-BG"/>
        </w:rPr>
        <w:t xml:space="preserve">9 </w:t>
      </w:r>
      <w:r w:rsidRPr="003D5468">
        <w:rPr>
          <w:rFonts w:eastAsia="Times New Roman"/>
          <w:lang w:eastAsia="bg-BG"/>
        </w:rPr>
        <w:t xml:space="preserve">г. за поредна година прогнозите са за липса на изразителен икономически растеж на глобалния пазар на стоки и услуги. </w:t>
      </w:r>
      <w:r w:rsidRPr="003D5468">
        <w:rPr>
          <w:color w:val="000000"/>
        </w:rPr>
        <w:t>Очакванията за дейността на „Пристанищен комплекс-Русе” ЕАД са за продължаване на негативната тенденция за спад на товарооборота.</w:t>
      </w:r>
      <w:r w:rsidRPr="003D5468">
        <w:rPr>
          <w:b/>
          <w:color w:val="000000"/>
          <w:sz w:val="26"/>
          <w:szCs w:val="26"/>
        </w:rPr>
        <w:t xml:space="preserve"> </w:t>
      </w:r>
    </w:p>
    <w:p w:rsidR="006A52D1" w:rsidRPr="003D5468" w:rsidRDefault="00DD530A" w:rsidP="00DD530A">
      <w:pPr>
        <w:spacing w:after="120"/>
        <w:ind w:firstLine="851"/>
        <w:jc w:val="both"/>
        <w:rPr>
          <w:rFonts w:eastAsia="Times New Roman"/>
          <w:lang w:eastAsia="bg-BG"/>
        </w:rPr>
      </w:pPr>
      <w:r w:rsidRPr="003D5468">
        <w:rPr>
          <w:rFonts w:eastAsia="Times New Roman"/>
          <w:lang w:eastAsia="bg-BG"/>
        </w:rPr>
        <w:t>Като един от водните портали на страната, „Пристанищен комплекс – Русе“ ЕАД ще развива дейност в една ниша на постоянно увеличаващ се конкурентен натиск при липса на отчетлив ръст в доставките на товари за обработка и складиране.</w:t>
      </w:r>
      <w:r w:rsidR="006A52D1" w:rsidRPr="003D5468">
        <w:rPr>
          <w:rFonts w:eastAsia="Times New Roman"/>
          <w:lang w:eastAsia="bg-BG"/>
        </w:rPr>
        <w:t xml:space="preserve"> </w:t>
      </w:r>
    </w:p>
    <w:p w:rsidR="006A52D1" w:rsidRPr="003D5468" w:rsidRDefault="006A52D1" w:rsidP="006A52D1">
      <w:pPr>
        <w:pStyle w:val="BodyTextIndent"/>
        <w:spacing w:after="120"/>
        <w:ind w:firstLine="709"/>
        <w:rPr>
          <w:b/>
          <w:i/>
          <w:color w:val="000000"/>
          <w:u w:val="single"/>
        </w:rPr>
      </w:pPr>
      <w:r w:rsidRPr="003D5468">
        <w:rPr>
          <w:b/>
          <w:i/>
          <w:color w:val="000000"/>
          <w:u w:val="single"/>
        </w:rPr>
        <w:t>Вероятно бъдещо развитие на предприятието</w:t>
      </w:r>
    </w:p>
    <w:p w:rsidR="007C6967" w:rsidRPr="003D5468" w:rsidRDefault="007C6967" w:rsidP="007C6967">
      <w:pPr>
        <w:pStyle w:val="BodyTextIndent"/>
        <w:spacing w:after="120"/>
        <w:ind w:firstLine="851"/>
        <w:rPr>
          <w:color w:val="000000"/>
          <w:lang w:val="en-US"/>
        </w:rPr>
      </w:pPr>
      <w:r w:rsidRPr="003D5468">
        <w:rPr>
          <w:spacing w:val="-6"/>
        </w:rPr>
        <w:t>Пристанищните дейности са тясно обвързани с международното икономическо положение и състоянието на търговията. Липсата на индикации за трайно възстановяване на световния, респ. европейския пазар на стоки и услуги, влияе негативно върху дейността на дружеството.</w:t>
      </w:r>
      <w:r w:rsidRPr="003D5468">
        <w:rPr>
          <w:spacing w:val="-6"/>
          <w:sz w:val="26"/>
          <w:szCs w:val="26"/>
        </w:rPr>
        <w:t xml:space="preserve"> </w:t>
      </w:r>
      <w:r w:rsidRPr="003D5468">
        <w:rPr>
          <w:color w:val="000000"/>
        </w:rPr>
        <w:t xml:space="preserve"> Обемите в различни групи товари, предоставяни за обработка и складиране, силно варират на годишна база. Същевременно през 201</w:t>
      </w:r>
      <w:r w:rsidR="00157554">
        <w:rPr>
          <w:color w:val="000000"/>
        </w:rPr>
        <w:t>9</w:t>
      </w:r>
      <w:r w:rsidRPr="003D5468">
        <w:rPr>
          <w:color w:val="000000"/>
          <w:lang w:val="en-US"/>
        </w:rPr>
        <w:t xml:space="preserve"> </w:t>
      </w:r>
      <w:r w:rsidRPr="003D5468">
        <w:rPr>
          <w:color w:val="000000"/>
        </w:rPr>
        <w:t>г. за поредна година пазарната ниша на този вид услуги в региона на Русе не отбеляза съществен ръст. На база гореописаните тенденции би могло да се каже, че в последните няколко години основния товарен терминал на комплекса Русе-изток работи с един своеобразен оптимум от своя капацитет и потенциал. За 20</w:t>
      </w:r>
      <w:r w:rsidR="00157554">
        <w:rPr>
          <w:color w:val="000000"/>
        </w:rPr>
        <w:t>20</w:t>
      </w:r>
      <w:r w:rsidRPr="003D5468">
        <w:rPr>
          <w:color w:val="000000"/>
          <w:lang w:val="en-US"/>
        </w:rPr>
        <w:t xml:space="preserve"> </w:t>
      </w:r>
      <w:r w:rsidRPr="003D5468">
        <w:rPr>
          <w:color w:val="000000"/>
        </w:rPr>
        <w:t>г. дружеството ще положи усилия за продължаване на добрите практики от дейността си и</w:t>
      </w:r>
      <w:r w:rsidRPr="003D5468">
        <w:rPr>
          <w:b/>
          <w:color w:val="000000"/>
        </w:rPr>
        <w:t xml:space="preserve"> запазване на съществуващите товародатели, а по възможност и създаване на благоприятни условия за привличане на нови видове товари.</w:t>
      </w:r>
      <w:r w:rsidRPr="003D5468">
        <w:rPr>
          <w:color w:val="000000"/>
        </w:rPr>
        <w:t xml:space="preserve"> </w:t>
      </w:r>
    </w:p>
    <w:p w:rsidR="007C6967" w:rsidRPr="003D5468" w:rsidRDefault="007C6967" w:rsidP="007C6967">
      <w:pPr>
        <w:shd w:val="clear" w:color="auto" w:fill="FFFFFF"/>
        <w:tabs>
          <w:tab w:val="left" w:pos="851"/>
        </w:tabs>
        <w:spacing w:after="120"/>
        <w:ind w:left="14" w:firstLine="837"/>
        <w:jc w:val="both"/>
        <w:rPr>
          <w:color w:val="000000"/>
        </w:rPr>
      </w:pPr>
      <w:r w:rsidRPr="003D5468">
        <w:rPr>
          <w:color w:val="000000"/>
        </w:rPr>
        <w:t xml:space="preserve"> В дейността си дружеството най-вероятно ще се изправи пред следните предизвикателства:</w:t>
      </w:r>
    </w:p>
    <w:p w:rsidR="007C6967" w:rsidRPr="003D5468" w:rsidRDefault="007C6967" w:rsidP="007C6967">
      <w:pPr>
        <w:pStyle w:val="ListParagraph"/>
        <w:numPr>
          <w:ilvl w:val="0"/>
          <w:numId w:val="19"/>
        </w:numPr>
        <w:shd w:val="clear" w:color="auto" w:fill="FFFFFF"/>
        <w:spacing w:after="120"/>
        <w:ind w:left="0" w:firstLine="993"/>
        <w:jc w:val="both"/>
        <w:rPr>
          <w:color w:val="000000"/>
        </w:rPr>
      </w:pPr>
      <w:r w:rsidRPr="003D5468">
        <w:rPr>
          <w:color w:val="000000"/>
        </w:rPr>
        <w:t xml:space="preserve">Дружеството изпитва изключително голям </w:t>
      </w:r>
      <w:r w:rsidRPr="003D5468">
        <w:rPr>
          <w:b/>
          <w:color w:val="000000"/>
        </w:rPr>
        <w:t>конкурентен натиск</w:t>
      </w:r>
      <w:r w:rsidRPr="003D5468">
        <w:rPr>
          <w:color w:val="000000"/>
        </w:rPr>
        <w:t xml:space="preserve"> в последните години. Към момента на територията на регион Русе функционират четири пазарни субекта, предлагащи пристанищни услуги – два с национално и два с регионално значение. Три от изброените са пряка конкуренция на основния товарен терминал на комплекса, терминал Русе-изток. По-малкия капацитет на конкурентните портове им позволява те да работят с далеч по-ниски експлоатационни разходи, тоест да предлагат по-ниски цени за извършваните услуги. </w:t>
      </w:r>
      <w:r w:rsidRPr="003D5468">
        <w:t>От друга страна, отдаването на концесия на терминали, които са били част от структурата на ПК-</w:t>
      </w:r>
      <w:r w:rsidR="00BF2022">
        <w:t>Р</w:t>
      </w:r>
      <w:r w:rsidRPr="003D5468">
        <w:t>усе и съществ</w:t>
      </w:r>
      <w:r w:rsidR="00BF2022">
        <w:t>у</w:t>
      </w:r>
      <w:r w:rsidRPr="003D5468">
        <w:t>ването им като нов държавен оператор, допринася допълнително за усложняване на конкуренцията в тази сфера.</w:t>
      </w:r>
      <w:r w:rsidRPr="003D5468">
        <w:rPr>
          <w:sz w:val="26"/>
          <w:szCs w:val="26"/>
        </w:rPr>
        <w:t xml:space="preserve"> </w:t>
      </w:r>
    </w:p>
    <w:p w:rsidR="007C6967" w:rsidRPr="003D5468" w:rsidRDefault="007C6967" w:rsidP="007C6967">
      <w:pPr>
        <w:spacing w:after="120"/>
        <w:jc w:val="both"/>
        <w:rPr>
          <w:sz w:val="26"/>
          <w:szCs w:val="26"/>
        </w:rPr>
      </w:pPr>
      <w:r w:rsidRPr="003D5468">
        <w:rPr>
          <w:sz w:val="26"/>
          <w:szCs w:val="26"/>
        </w:rPr>
        <w:t>З</w:t>
      </w:r>
      <w:r w:rsidRPr="003D5468">
        <w:rPr>
          <w:color w:val="000000"/>
        </w:rPr>
        <w:t>анижените в последните години обеми на товаропотока прави възможно тези редуцирани доставки да бъдат поемани и от по-малки от Русе-изток терминали. По отношение конкретно на складовите услуги, такива в регион Русе предлагат и други пазарни субекти. Наблюдава се и тенденция част от клиентите да инвестират в собствени складови бази, разположени в близост до основните пътни артерии на града.</w:t>
      </w:r>
    </w:p>
    <w:p w:rsidR="007C6967" w:rsidRPr="003D5468" w:rsidRDefault="007C6967" w:rsidP="007C6967">
      <w:pPr>
        <w:numPr>
          <w:ilvl w:val="0"/>
          <w:numId w:val="12"/>
        </w:numPr>
        <w:shd w:val="clear" w:color="auto" w:fill="FFFFFF"/>
        <w:tabs>
          <w:tab w:val="left" w:pos="1418"/>
        </w:tabs>
        <w:spacing w:after="120"/>
        <w:ind w:left="0" w:firstLine="993"/>
        <w:jc w:val="both"/>
        <w:rPr>
          <w:color w:val="000000"/>
        </w:rPr>
      </w:pPr>
      <w:r w:rsidRPr="003D5468">
        <w:rPr>
          <w:b/>
          <w:color w:val="000000"/>
        </w:rPr>
        <w:t>Липсата на изразителен икономически растеж</w:t>
      </w:r>
      <w:r w:rsidRPr="003D5468">
        <w:rPr>
          <w:color w:val="000000"/>
        </w:rPr>
        <w:t xml:space="preserve"> за поредна година ще ограничава опциите за разширяване дейността на „Пристанищен комплекс – Русе“ ЕАД. Въпреки, че дружеството разполага с опитен персонал, товарен терминал с голям капацитет и предлага качествени услуги, външни за дейността фактори възпрепятстват една изразителна пазарна експанзия. Клиентите на дружеството осъществят по-скоро краткосрочни логистични схеми, които бележат пикове и спадове. Липсват дългосрочно гарантирани товаропотоци, което от своя страна променя логистиката по отношение обем и направление на доставките сравнително често.</w:t>
      </w:r>
    </w:p>
    <w:p w:rsidR="007C6967" w:rsidRPr="003D5468" w:rsidRDefault="007C6967" w:rsidP="007C6967">
      <w:pPr>
        <w:numPr>
          <w:ilvl w:val="0"/>
          <w:numId w:val="12"/>
        </w:numPr>
        <w:shd w:val="clear" w:color="auto" w:fill="FFFFFF"/>
        <w:tabs>
          <w:tab w:val="left" w:pos="1418"/>
        </w:tabs>
        <w:spacing w:after="120"/>
        <w:ind w:left="0" w:firstLine="993"/>
        <w:jc w:val="both"/>
      </w:pPr>
      <w:r w:rsidRPr="003D5468">
        <w:t>Активното търсене на открити и закрити складове през последните години доведе до появата нови и развитието на съществуващи складове на територията на Русе. Фирми-клиенти на дружеството развиха свои бази. Наличието на складови площи прави пристанището атрактивно на своите клиенти. Складовете трябва да са пригодни за опазването и защитата на товарите от повреда и загуби, както и за тяхната подготовка за по-нататъшната им обработка и транспортиране по определени технологии. Дружеството планира извършване на инвестиции в изграждането на нови складови площи, полагането на нова пътна настилка, също и в закупуването на ново, високотехнологично оборудване, което ще допринесе за повишаването на конкурентните предимства, чрез увеличаване на производителността при обработката на товарите на кея и в тила (складовете), намаляването на времето за обработка на товарите, престоят на корабите, автомобилите/камионите и ж.п. вагоните в пристанището и съответно намаляване на логистичните разходи на товародателите.</w:t>
      </w:r>
    </w:p>
    <w:p w:rsidR="007C6967" w:rsidRPr="003D5468" w:rsidRDefault="007C6967" w:rsidP="007C6967">
      <w:pPr>
        <w:shd w:val="clear" w:color="auto" w:fill="FFFFFF"/>
        <w:spacing w:after="120"/>
        <w:ind w:firstLine="889"/>
        <w:jc w:val="both"/>
        <w:rPr>
          <w:rFonts w:ascii="Tahoma" w:hAnsi="Tahoma" w:cs="Tahoma"/>
          <w:color w:val="777777"/>
          <w:sz w:val="20"/>
          <w:szCs w:val="20"/>
          <w:shd w:val="clear" w:color="auto" w:fill="F3F3F3"/>
        </w:rPr>
      </w:pPr>
      <w:r w:rsidRPr="003D5468">
        <w:t>Във връзка с интегрирането и модернизирането на българската транспортна система като част от европейските структури и отчитайки кръстопътното положение на България и нейния транзитен потенциал, възниква необходимостта от развитие на транспортната инфраструктура, чрез разработването на подходящи логистични методи за осигуряване на ефикасен, ефективен и устойчив на външни влияния транспорт.</w:t>
      </w:r>
      <w:r w:rsidRPr="003D5468">
        <w:rPr>
          <w:rFonts w:ascii="Tahoma" w:hAnsi="Tahoma" w:cs="Tahoma"/>
          <w:color w:val="777777"/>
          <w:sz w:val="20"/>
          <w:szCs w:val="20"/>
          <w:shd w:val="clear" w:color="auto" w:fill="F3F3F3"/>
        </w:rPr>
        <w:t xml:space="preserve"> </w:t>
      </w:r>
    </w:p>
    <w:p w:rsidR="006A52D1" w:rsidRPr="003D5468" w:rsidRDefault="007C6967" w:rsidP="007C6967">
      <w:pPr>
        <w:shd w:val="clear" w:color="auto" w:fill="FFFFFF"/>
        <w:tabs>
          <w:tab w:val="left" w:pos="851"/>
        </w:tabs>
        <w:spacing w:after="120"/>
        <w:ind w:firstLine="851"/>
        <w:jc w:val="both"/>
        <w:rPr>
          <w:color w:val="000000"/>
        </w:rPr>
      </w:pPr>
      <w:r w:rsidRPr="003D5468">
        <w:rPr>
          <w:color w:val="000000"/>
        </w:rPr>
        <w:t>Горепосочените фактори влияят изключително силно върху пазарната ниша на предлагане на пристанищни услуги в региона, особено при хипотезата, че тя не бележи изразителен ръст. Това насочва конкурентния натиск към преразпределение на съществуващите пазарни дялове</w:t>
      </w:r>
      <w:r w:rsidR="006A52D1" w:rsidRPr="003D5468">
        <w:rPr>
          <w:color w:val="000000"/>
        </w:rPr>
        <w:t>.</w:t>
      </w:r>
    </w:p>
    <w:p w:rsidR="00671A5A" w:rsidRDefault="00671A5A" w:rsidP="006A52D1">
      <w:pPr>
        <w:shd w:val="clear" w:color="auto" w:fill="FFFFFF"/>
        <w:tabs>
          <w:tab w:val="left" w:pos="624"/>
        </w:tabs>
        <w:spacing w:after="120"/>
        <w:ind w:firstLine="889"/>
        <w:jc w:val="both"/>
        <w:rPr>
          <w:color w:val="000000"/>
        </w:rPr>
      </w:pPr>
    </w:p>
    <w:p w:rsidR="00157554" w:rsidRDefault="00157554" w:rsidP="006A52D1">
      <w:pPr>
        <w:shd w:val="clear" w:color="auto" w:fill="FFFFFF"/>
        <w:tabs>
          <w:tab w:val="left" w:pos="624"/>
        </w:tabs>
        <w:spacing w:after="120"/>
        <w:ind w:firstLine="889"/>
        <w:jc w:val="both"/>
        <w:rPr>
          <w:color w:val="000000"/>
        </w:rPr>
      </w:pPr>
    </w:p>
    <w:p w:rsidR="00157554" w:rsidRPr="003D5468" w:rsidRDefault="00157554" w:rsidP="006A52D1">
      <w:pPr>
        <w:shd w:val="clear" w:color="auto" w:fill="FFFFFF"/>
        <w:tabs>
          <w:tab w:val="left" w:pos="624"/>
        </w:tabs>
        <w:spacing w:after="120"/>
        <w:ind w:firstLine="889"/>
        <w:jc w:val="both"/>
        <w:rPr>
          <w:color w:val="000000"/>
        </w:rPr>
      </w:pPr>
    </w:p>
    <w:p w:rsidR="006A52D1" w:rsidRPr="00F500E5" w:rsidRDefault="006A52D1" w:rsidP="006A52D1">
      <w:pPr>
        <w:spacing w:after="120"/>
        <w:ind w:left="4320"/>
        <w:jc w:val="both"/>
      </w:pPr>
      <w:r w:rsidRPr="003D5468">
        <w:t>ИЗП. ДИРЕКТОР:</w:t>
      </w:r>
    </w:p>
    <w:p w:rsidR="003037C8" w:rsidRPr="00F500E5" w:rsidRDefault="006A52D1" w:rsidP="00671A5A">
      <w:pPr>
        <w:spacing w:after="120"/>
        <w:jc w:val="both"/>
      </w:pPr>
      <w:r w:rsidRPr="00F500E5">
        <w:tab/>
      </w:r>
      <w:r w:rsidRPr="00F500E5">
        <w:tab/>
      </w:r>
      <w:r w:rsidRPr="00F500E5">
        <w:tab/>
      </w:r>
      <w:r w:rsidRPr="00F500E5">
        <w:tab/>
      </w:r>
      <w:r w:rsidRPr="00F500E5">
        <w:tab/>
      </w:r>
      <w:r w:rsidRPr="00F500E5">
        <w:tab/>
        <w:t xml:space="preserve"> </w:t>
      </w:r>
      <w:r w:rsidRPr="00F500E5">
        <w:tab/>
      </w:r>
      <w:r w:rsidRPr="00F500E5">
        <w:tab/>
        <w:t xml:space="preserve">          /инж. Петър Драгошинов/</w:t>
      </w:r>
    </w:p>
    <w:sectPr w:rsidR="003037C8" w:rsidRPr="00F500E5" w:rsidSect="009E647C">
      <w:headerReference w:type="default" r:id="rId23"/>
      <w:footerReference w:type="even" r:id="rId24"/>
      <w:footerReference w:type="default" r:id="rId25"/>
      <w:headerReference w:type="first" r:id="rId26"/>
      <w:pgSz w:w="11906" w:h="16838" w:code="9"/>
      <w:pgMar w:top="1418" w:right="1106" w:bottom="1079" w:left="107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1B7" w:rsidRDefault="000D51B7">
      <w:r>
        <w:separator/>
      </w:r>
    </w:p>
  </w:endnote>
  <w:endnote w:type="continuationSeparator" w:id="0">
    <w:p w:rsidR="000D51B7" w:rsidRDefault="000D5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HebarU">
    <w:altName w:val="Lucida Console"/>
    <w:charset w:val="00"/>
    <w:family w:val="auto"/>
    <w:pitch w:val="variable"/>
    <w:sig w:usb0="00000287" w:usb1="00000000" w:usb2="00000000" w:usb3="00000000" w:csb0="0000009F" w:csb1="00000000"/>
  </w:font>
  <w:font w:name="Futura Bk">
    <w:altName w:val="Century Gothic"/>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2BA" w:rsidRDefault="007542BA" w:rsidP="00E22A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7542BA" w:rsidRDefault="007542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2BA" w:rsidRPr="00BA1410" w:rsidRDefault="007542BA" w:rsidP="00E22AC9">
    <w:pPr>
      <w:pStyle w:val="Footer"/>
      <w:framePr w:wrap="around" w:vAnchor="text" w:hAnchor="margin" w:xAlign="right" w:y="1"/>
      <w:rPr>
        <w:rStyle w:val="PageNumber"/>
        <w:sz w:val="20"/>
      </w:rPr>
    </w:pPr>
    <w:r w:rsidRPr="00BA1410">
      <w:rPr>
        <w:rStyle w:val="PageNumber"/>
        <w:sz w:val="20"/>
      </w:rPr>
      <w:fldChar w:fldCharType="begin"/>
    </w:r>
    <w:r w:rsidRPr="00BA1410">
      <w:rPr>
        <w:rStyle w:val="PageNumber"/>
        <w:sz w:val="20"/>
      </w:rPr>
      <w:instrText xml:space="preserve">PAGE  </w:instrText>
    </w:r>
    <w:r w:rsidRPr="00BA1410">
      <w:rPr>
        <w:rStyle w:val="PageNumber"/>
        <w:sz w:val="20"/>
      </w:rPr>
      <w:fldChar w:fldCharType="separate"/>
    </w:r>
    <w:r w:rsidR="009C75F7">
      <w:rPr>
        <w:rStyle w:val="PageNumber"/>
        <w:noProof/>
        <w:sz w:val="20"/>
      </w:rPr>
      <w:t>1</w:t>
    </w:r>
    <w:r w:rsidRPr="00BA1410">
      <w:rPr>
        <w:rStyle w:val="PageNumber"/>
        <w:sz w:val="20"/>
      </w:rPr>
      <w:fldChar w:fldCharType="end"/>
    </w:r>
  </w:p>
  <w:p w:rsidR="007542BA" w:rsidRDefault="007542B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1B7" w:rsidRDefault="000D51B7">
      <w:r>
        <w:separator/>
      </w:r>
    </w:p>
  </w:footnote>
  <w:footnote w:type="continuationSeparator" w:id="0">
    <w:p w:rsidR="000D51B7" w:rsidRDefault="000D51B7">
      <w:r>
        <w:continuationSeparator/>
      </w:r>
    </w:p>
  </w:footnote>
  <w:footnote w:id="1">
    <w:p w:rsidR="007542BA" w:rsidRPr="00F41629" w:rsidRDefault="007542BA">
      <w:pPr>
        <w:pStyle w:val="FootnoteText"/>
        <w:rPr>
          <w:lang w:val="ru-RU"/>
        </w:rPr>
      </w:pPr>
      <w:r>
        <w:rPr>
          <w:rStyle w:val="FootnoteReference"/>
        </w:rPr>
        <w:t>*</w:t>
      </w:r>
      <w:r>
        <w:t xml:space="preserve"> Коефициент на незабавна/ финансова ликвидност (Cash position ratio)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2BA" w:rsidRPr="00361FC0" w:rsidRDefault="007542BA" w:rsidP="002F5EA2">
    <w:pPr>
      <w:pStyle w:val="Header"/>
      <w:jc w:val="center"/>
      <w:rPr>
        <w:b/>
        <w:u w:val="single"/>
      </w:rPr>
    </w:pPr>
    <w:r w:rsidRPr="00026F78">
      <w:rPr>
        <w:b/>
        <w:smallCaps/>
        <w:u w:val="single"/>
      </w:rPr>
      <w:t>Пристанищен комплекс – Русе</w:t>
    </w:r>
    <w:r w:rsidRPr="00026F78">
      <w:rPr>
        <w:b/>
        <w:u w:val="single"/>
      </w:rPr>
      <w:t xml:space="preserve"> ЕАД, </w:t>
    </w:r>
    <w:r w:rsidRPr="00026F78">
      <w:rPr>
        <w:b/>
        <w:smallCaps/>
        <w:u w:val="single"/>
      </w:rPr>
      <w:t>Годишен анализ на дейността</w:t>
    </w:r>
    <w:r>
      <w:rPr>
        <w:b/>
        <w:u w:val="single"/>
      </w:rPr>
      <w:t xml:space="preserve"> 20</w:t>
    </w:r>
    <w:r w:rsidRPr="00FE33A7">
      <w:rPr>
        <w:b/>
        <w:u w:val="single"/>
        <w:lang w:val="ru-RU"/>
      </w:rPr>
      <w:t>1</w:t>
    </w:r>
    <w:r>
      <w:rPr>
        <w:b/>
        <w:u w:val="single"/>
        <w:lang w:val="en-US"/>
      </w:rPr>
      <w:t>9</w:t>
    </w:r>
    <w:r>
      <w:rPr>
        <w:b/>
        <w:u w:val="single"/>
      </w:rPr>
      <w:t>г.</w:t>
    </w:r>
  </w:p>
  <w:p w:rsidR="007542BA" w:rsidRDefault="007542BA" w:rsidP="00BE693F">
    <w:pPr>
      <w:pStyle w:val="Header"/>
      <w:rPr>
        <w:b/>
        <w:u w:val="single"/>
        <w:lang w:val="ru-RU"/>
      </w:rPr>
    </w:pPr>
  </w:p>
  <w:p w:rsidR="007542BA" w:rsidRPr="00FE33A7" w:rsidRDefault="007542BA" w:rsidP="00026F78">
    <w:pPr>
      <w:pStyle w:val="Header"/>
      <w:jc w:val="center"/>
      <w:rPr>
        <w:b/>
        <w:u w:val="single"/>
        <w:lang w:val="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2BA" w:rsidRPr="00CF20B8" w:rsidRDefault="007542BA" w:rsidP="00026F78">
    <w:pPr>
      <w:pStyle w:val="Header"/>
      <w:jc w:val="center"/>
      <w:rPr>
        <w:b/>
      </w:rPr>
    </w:pPr>
    <w:r w:rsidRPr="00CF20B8">
      <w:rPr>
        <w:b/>
      </w:rPr>
      <w:t>Пристанищен комплекс – Русе ЕАД</w:t>
    </w:r>
  </w:p>
  <w:p w:rsidR="007542BA" w:rsidRPr="00674EE9" w:rsidRDefault="007542BA" w:rsidP="00167311">
    <w:pPr>
      <w:pStyle w:val="Header"/>
      <w:jc w:val="center"/>
      <w:rPr>
        <w:b/>
      </w:rPr>
    </w:pPr>
    <w:r w:rsidRPr="00CF20B8">
      <w:rPr>
        <w:b/>
      </w:rPr>
      <w:t xml:space="preserve">Годишен </w:t>
    </w:r>
    <w:r>
      <w:rPr>
        <w:b/>
      </w:rPr>
      <w:t>анализ на дейността</w:t>
    </w:r>
    <w:r w:rsidRPr="00CF20B8">
      <w:rPr>
        <w:b/>
      </w:rPr>
      <w:t xml:space="preserve"> - 20</w:t>
    </w:r>
    <w:r>
      <w:rPr>
        <w:b/>
        <w:lang w:val="en-US"/>
      </w:rPr>
      <w:t>1</w:t>
    </w:r>
    <w:r w:rsidRPr="00CF20B8">
      <w:rPr>
        <w:b/>
        <w:noProof/>
        <w:spacing w:val="20"/>
        <w:sz w:val="40"/>
        <w:szCs w:val="40"/>
        <w:lang w:eastAsia="bg-BG"/>
      </w:rPr>
      <mc:AlternateContent>
        <mc:Choice Requires="wps">
          <w:drawing>
            <wp:anchor distT="0" distB="0" distL="114300" distR="114300" simplePos="0" relativeHeight="251657728" behindDoc="0" locked="0" layoutInCell="1" allowOverlap="1" wp14:anchorId="30BCEF51" wp14:editId="5B35CA32">
              <wp:simplePos x="0" y="0"/>
              <wp:positionH relativeFrom="column">
                <wp:posOffset>-26670</wp:posOffset>
              </wp:positionH>
              <wp:positionV relativeFrom="paragraph">
                <wp:posOffset>226060</wp:posOffset>
              </wp:positionV>
              <wp:extent cx="5807710" cy="12065"/>
              <wp:effectExtent l="0" t="0" r="0" b="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07710" cy="12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46B16" id="Line 5"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17.8pt" to="455.2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" strokeweight="1pt"/>
          </w:pict>
        </mc:Fallback>
      </mc:AlternateContent>
    </w:r>
    <w:r>
      <w:rPr>
        <w:b/>
      </w:rPr>
      <w:t>9</w:t>
    </w:r>
  </w:p>
  <w:p w:rsidR="007542BA" w:rsidRDefault="007542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4.25pt;height:14.25pt" o:bullet="t">
        <v:imagedata r:id="rId1" o:title="BD15057_"/>
      </v:shape>
    </w:pict>
  </w:numPicBullet>
  <w:numPicBullet w:numPicBulletId="1">
    <w:pict>
      <v:shape id="_x0000_i1032" type="#_x0000_t75" style="width:14.25pt;height:14.25pt" o:bullet="t">
        <v:imagedata r:id="rId2" o:title="mso5799"/>
      </v:shape>
    </w:pict>
  </w:numPicBullet>
  <w:abstractNum w:abstractNumId="0" w15:restartNumberingAfterBreak="0">
    <w:nsid w:val="086D68D2"/>
    <w:multiLevelType w:val="hybridMultilevel"/>
    <w:tmpl w:val="F920D66C"/>
    <w:lvl w:ilvl="0" w:tplc="04020005">
      <w:start w:val="1"/>
      <w:numFmt w:val="bullet"/>
      <w:lvlText w:val=""/>
      <w:lvlJc w:val="left"/>
      <w:pPr>
        <w:ind w:left="1789" w:hanging="360"/>
      </w:pPr>
      <w:rPr>
        <w:rFonts w:ascii="Wingdings" w:hAnsi="Wingdings" w:hint="default"/>
      </w:rPr>
    </w:lvl>
    <w:lvl w:ilvl="1" w:tplc="04020003" w:tentative="1">
      <w:start w:val="1"/>
      <w:numFmt w:val="bullet"/>
      <w:lvlText w:val="o"/>
      <w:lvlJc w:val="left"/>
      <w:pPr>
        <w:ind w:left="2509" w:hanging="360"/>
      </w:pPr>
      <w:rPr>
        <w:rFonts w:ascii="Courier New" w:hAnsi="Courier New" w:cs="Courier New" w:hint="default"/>
      </w:rPr>
    </w:lvl>
    <w:lvl w:ilvl="2" w:tplc="04020005" w:tentative="1">
      <w:start w:val="1"/>
      <w:numFmt w:val="bullet"/>
      <w:lvlText w:val=""/>
      <w:lvlJc w:val="left"/>
      <w:pPr>
        <w:ind w:left="3229" w:hanging="360"/>
      </w:pPr>
      <w:rPr>
        <w:rFonts w:ascii="Wingdings" w:hAnsi="Wingdings" w:hint="default"/>
      </w:rPr>
    </w:lvl>
    <w:lvl w:ilvl="3" w:tplc="04020001" w:tentative="1">
      <w:start w:val="1"/>
      <w:numFmt w:val="bullet"/>
      <w:lvlText w:val=""/>
      <w:lvlJc w:val="left"/>
      <w:pPr>
        <w:ind w:left="3949" w:hanging="360"/>
      </w:pPr>
      <w:rPr>
        <w:rFonts w:ascii="Symbol" w:hAnsi="Symbol" w:hint="default"/>
      </w:rPr>
    </w:lvl>
    <w:lvl w:ilvl="4" w:tplc="04020003" w:tentative="1">
      <w:start w:val="1"/>
      <w:numFmt w:val="bullet"/>
      <w:lvlText w:val="o"/>
      <w:lvlJc w:val="left"/>
      <w:pPr>
        <w:ind w:left="4669" w:hanging="360"/>
      </w:pPr>
      <w:rPr>
        <w:rFonts w:ascii="Courier New" w:hAnsi="Courier New" w:cs="Courier New" w:hint="default"/>
      </w:rPr>
    </w:lvl>
    <w:lvl w:ilvl="5" w:tplc="04020005" w:tentative="1">
      <w:start w:val="1"/>
      <w:numFmt w:val="bullet"/>
      <w:lvlText w:val=""/>
      <w:lvlJc w:val="left"/>
      <w:pPr>
        <w:ind w:left="5389" w:hanging="360"/>
      </w:pPr>
      <w:rPr>
        <w:rFonts w:ascii="Wingdings" w:hAnsi="Wingdings" w:hint="default"/>
      </w:rPr>
    </w:lvl>
    <w:lvl w:ilvl="6" w:tplc="04020001" w:tentative="1">
      <w:start w:val="1"/>
      <w:numFmt w:val="bullet"/>
      <w:lvlText w:val=""/>
      <w:lvlJc w:val="left"/>
      <w:pPr>
        <w:ind w:left="6109" w:hanging="360"/>
      </w:pPr>
      <w:rPr>
        <w:rFonts w:ascii="Symbol" w:hAnsi="Symbol" w:hint="default"/>
      </w:rPr>
    </w:lvl>
    <w:lvl w:ilvl="7" w:tplc="04020003" w:tentative="1">
      <w:start w:val="1"/>
      <w:numFmt w:val="bullet"/>
      <w:lvlText w:val="o"/>
      <w:lvlJc w:val="left"/>
      <w:pPr>
        <w:ind w:left="6829" w:hanging="360"/>
      </w:pPr>
      <w:rPr>
        <w:rFonts w:ascii="Courier New" w:hAnsi="Courier New" w:cs="Courier New" w:hint="default"/>
      </w:rPr>
    </w:lvl>
    <w:lvl w:ilvl="8" w:tplc="04020005" w:tentative="1">
      <w:start w:val="1"/>
      <w:numFmt w:val="bullet"/>
      <w:lvlText w:val=""/>
      <w:lvlJc w:val="left"/>
      <w:pPr>
        <w:ind w:left="7549" w:hanging="360"/>
      </w:pPr>
      <w:rPr>
        <w:rFonts w:ascii="Wingdings" w:hAnsi="Wingdings" w:hint="default"/>
      </w:rPr>
    </w:lvl>
  </w:abstractNum>
  <w:abstractNum w:abstractNumId="1" w15:restartNumberingAfterBreak="0">
    <w:nsid w:val="092E6233"/>
    <w:multiLevelType w:val="hybridMultilevel"/>
    <w:tmpl w:val="16340A68"/>
    <w:lvl w:ilvl="0" w:tplc="04020001">
      <w:start w:val="1"/>
      <w:numFmt w:val="bullet"/>
      <w:lvlText w:val=""/>
      <w:lvlJc w:val="left"/>
      <w:pPr>
        <w:tabs>
          <w:tab w:val="num" w:pos="1083"/>
        </w:tabs>
        <w:ind w:left="1083" w:hanging="360"/>
      </w:pPr>
      <w:rPr>
        <w:rFonts w:ascii="Symbol" w:hAnsi="Symbol" w:hint="default"/>
      </w:rPr>
    </w:lvl>
    <w:lvl w:ilvl="1" w:tplc="AE4404F4">
      <w:start w:val="1"/>
      <w:numFmt w:val="decimal"/>
      <w:lvlText w:val="7.%2."/>
      <w:lvlJc w:val="left"/>
      <w:pPr>
        <w:tabs>
          <w:tab w:val="num" w:pos="1443"/>
        </w:tabs>
        <w:ind w:left="1159" w:firstLine="284"/>
      </w:pPr>
      <w:rPr>
        <w:rFonts w:ascii="Times New Roman" w:hAnsi="Times New Roman" w:cs="Times New Roman" w:hint="default"/>
        <w:b/>
        <w:i/>
        <w:color w:val="auto"/>
        <w:sz w:val="24"/>
        <w:szCs w:val="24"/>
      </w:rPr>
    </w:lvl>
    <w:lvl w:ilvl="2" w:tplc="949A6928">
      <w:start w:val="1"/>
      <w:numFmt w:val="decimal"/>
      <w:lvlText w:val="%3."/>
      <w:lvlJc w:val="left"/>
      <w:pPr>
        <w:tabs>
          <w:tab w:val="num" w:pos="2523"/>
        </w:tabs>
        <w:ind w:left="2523" w:hanging="360"/>
      </w:pPr>
      <w:rPr>
        <w:rFonts w:hint="default"/>
        <w:b/>
        <w:i/>
      </w:rPr>
    </w:lvl>
    <w:lvl w:ilvl="3" w:tplc="04020001" w:tentative="1">
      <w:start w:val="1"/>
      <w:numFmt w:val="bullet"/>
      <w:lvlText w:val=""/>
      <w:lvlJc w:val="left"/>
      <w:pPr>
        <w:tabs>
          <w:tab w:val="num" w:pos="3243"/>
        </w:tabs>
        <w:ind w:left="3243" w:hanging="360"/>
      </w:pPr>
      <w:rPr>
        <w:rFonts w:ascii="Symbol" w:hAnsi="Symbol" w:hint="default"/>
      </w:rPr>
    </w:lvl>
    <w:lvl w:ilvl="4" w:tplc="04020003" w:tentative="1">
      <w:start w:val="1"/>
      <w:numFmt w:val="bullet"/>
      <w:lvlText w:val="o"/>
      <w:lvlJc w:val="left"/>
      <w:pPr>
        <w:tabs>
          <w:tab w:val="num" w:pos="3963"/>
        </w:tabs>
        <w:ind w:left="3963" w:hanging="360"/>
      </w:pPr>
      <w:rPr>
        <w:rFonts w:ascii="Courier New" w:hAnsi="Courier New" w:cs="Courier New" w:hint="default"/>
      </w:rPr>
    </w:lvl>
    <w:lvl w:ilvl="5" w:tplc="04020005" w:tentative="1">
      <w:start w:val="1"/>
      <w:numFmt w:val="bullet"/>
      <w:lvlText w:val=""/>
      <w:lvlJc w:val="left"/>
      <w:pPr>
        <w:tabs>
          <w:tab w:val="num" w:pos="4683"/>
        </w:tabs>
        <w:ind w:left="4683" w:hanging="360"/>
      </w:pPr>
      <w:rPr>
        <w:rFonts w:ascii="Wingdings" w:hAnsi="Wingdings" w:hint="default"/>
      </w:rPr>
    </w:lvl>
    <w:lvl w:ilvl="6" w:tplc="04020001" w:tentative="1">
      <w:start w:val="1"/>
      <w:numFmt w:val="bullet"/>
      <w:lvlText w:val=""/>
      <w:lvlJc w:val="left"/>
      <w:pPr>
        <w:tabs>
          <w:tab w:val="num" w:pos="5403"/>
        </w:tabs>
        <w:ind w:left="5403" w:hanging="360"/>
      </w:pPr>
      <w:rPr>
        <w:rFonts w:ascii="Symbol" w:hAnsi="Symbol" w:hint="default"/>
      </w:rPr>
    </w:lvl>
    <w:lvl w:ilvl="7" w:tplc="04020003" w:tentative="1">
      <w:start w:val="1"/>
      <w:numFmt w:val="bullet"/>
      <w:lvlText w:val="o"/>
      <w:lvlJc w:val="left"/>
      <w:pPr>
        <w:tabs>
          <w:tab w:val="num" w:pos="6123"/>
        </w:tabs>
        <w:ind w:left="6123" w:hanging="360"/>
      </w:pPr>
      <w:rPr>
        <w:rFonts w:ascii="Courier New" w:hAnsi="Courier New" w:cs="Courier New" w:hint="default"/>
      </w:rPr>
    </w:lvl>
    <w:lvl w:ilvl="8" w:tplc="04020005" w:tentative="1">
      <w:start w:val="1"/>
      <w:numFmt w:val="bullet"/>
      <w:lvlText w:val=""/>
      <w:lvlJc w:val="left"/>
      <w:pPr>
        <w:tabs>
          <w:tab w:val="num" w:pos="6843"/>
        </w:tabs>
        <w:ind w:left="6843" w:hanging="360"/>
      </w:pPr>
      <w:rPr>
        <w:rFonts w:ascii="Wingdings" w:hAnsi="Wingdings" w:hint="default"/>
      </w:rPr>
    </w:lvl>
  </w:abstractNum>
  <w:abstractNum w:abstractNumId="2" w15:restartNumberingAfterBreak="0">
    <w:nsid w:val="09C50BEB"/>
    <w:multiLevelType w:val="hybridMultilevel"/>
    <w:tmpl w:val="C8FE61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A685EBB"/>
    <w:multiLevelType w:val="hybridMultilevel"/>
    <w:tmpl w:val="F376AE38"/>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C024839"/>
    <w:multiLevelType w:val="multilevel"/>
    <w:tmpl w:val="16283DD4"/>
    <w:lvl w:ilvl="0">
      <w:start w:val="1"/>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15:restartNumberingAfterBreak="0">
    <w:nsid w:val="112729D5"/>
    <w:multiLevelType w:val="hybridMultilevel"/>
    <w:tmpl w:val="27E85492"/>
    <w:lvl w:ilvl="0" w:tplc="04020007">
      <w:start w:val="1"/>
      <w:numFmt w:val="bullet"/>
      <w:lvlText w:val=""/>
      <w:lvlPicBulletId w:val="1"/>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 w15:restartNumberingAfterBreak="0">
    <w:nsid w:val="147F7062"/>
    <w:multiLevelType w:val="hybridMultilevel"/>
    <w:tmpl w:val="6F96464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5550FBC"/>
    <w:multiLevelType w:val="hybridMultilevel"/>
    <w:tmpl w:val="C9D8ED7C"/>
    <w:lvl w:ilvl="0" w:tplc="87CAB5AC">
      <w:start w:val="1"/>
      <w:numFmt w:val="bullet"/>
      <w:lvlText w:val=""/>
      <w:lvlJc w:val="left"/>
      <w:pPr>
        <w:tabs>
          <w:tab w:val="num" w:pos="113"/>
        </w:tabs>
        <w:ind w:left="0" w:firstLine="113"/>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2079D9"/>
    <w:multiLevelType w:val="hybridMultilevel"/>
    <w:tmpl w:val="DC8C7E0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9" w15:restartNumberingAfterBreak="0">
    <w:nsid w:val="1DDC38F9"/>
    <w:multiLevelType w:val="multilevel"/>
    <w:tmpl w:val="BD5E534C"/>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1E51470A"/>
    <w:multiLevelType w:val="hybridMultilevel"/>
    <w:tmpl w:val="12D26740"/>
    <w:lvl w:ilvl="0" w:tplc="D944A27A">
      <w:start w:val="1"/>
      <w:numFmt w:val="bullet"/>
      <w:lvlText w:val="-"/>
      <w:lvlJc w:val="left"/>
      <w:pPr>
        <w:ind w:left="360" w:hanging="360"/>
      </w:pPr>
      <w:rPr>
        <w:rFonts w:ascii="Times New Roman" w:eastAsia="SimSun" w:hAnsi="Times New Roman" w:cs="Times New Roman"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1" w15:restartNumberingAfterBreak="0">
    <w:nsid w:val="239E29BB"/>
    <w:multiLevelType w:val="hybridMultilevel"/>
    <w:tmpl w:val="6C62533C"/>
    <w:lvl w:ilvl="0" w:tplc="0402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25E9180A"/>
    <w:multiLevelType w:val="hybridMultilevel"/>
    <w:tmpl w:val="E190108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29C406BA"/>
    <w:multiLevelType w:val="hybridMultilevel"/>
    <w:tmpl w:val="933836D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4" w15:restartNumberingAfterBreak="0">
    <w:nsid w:val="2A8F5A3B"/>
    <w:multiLevelType w:val="multilevel"/>
    <w:tmpl w:val="BD62EB44"/>
    <w:lvl w:ilvl="0">
      <w:start w:val="4"/>
      <w:numFmt w:val="bullet"/>
      <w:lvlText w:val=""/>
      <w:lvlJc w:val="left"/>
      <w:pPr>
        <w:ind w:left="1440" w:hanging="360"/>
      </w:pPr>
      <w:rPr>
        <w:rFonts w:ascii="Wingdings" w:eastAsia="Times New Roman" w:hAnsi="Wingdings" w:cs="Times New Roman" w:hint="default"/>
        <w:color w:val="auto"/>
        <w:sz w:val="28"/>
        <w:szCs w:val="28"/>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5" w15:restartNumberingAfterBreak="0">
    <w:nsid w:val="2D012D33"/>
    <w:multiLevelType w:val="hybridMultilevel"/>
    <w:tmpl w:val="20D02D34"/>
    <w:lvl w:ilvl="0" w:tplc="6A26D57E">
      <w:start w:val="1"/>
      <w:numFmt w:val="upperRoman"/>
      <w:lvlText w:val="%1."/>
      <w:lvlJc w:val="left"/>
      <w:pPr>
        <w:tabs>
          <w:tab w:val="num" w:pos="720"/>
        </w:tabs>
        <w:ind w:left="720" w:hanging="360"/>
      </w:pPr>
      <w:rPr>
        <w:rFonts w:hint="default"/>
      </w:rPr>
    </w:lvl>
    <w:lvl w:ilvl="1" w:tplc="CC0EB2EC">
      <w:numFmt w:val="none"/>
      <w:lvlText w:val=""/>
      <w:lvlJc w:val="left"/>
      <w:pPr>
        <w:tabs>
          <w:tab w:val="num" w:pos="360"/>
        </w:tabs>
      </w:pPr>
    </w:lvl>
    <w:lvl w:ilvl="2" w:tplc="A3A2F5D6">
      <w:numFmt w:val="none"/>
      <w:lvlText w:val=""/>
      <w:lvlJc w:val="left"/>
      <w:pPr>
        <w:tabs>
          <w:tab w:val="num" w:pos="360"/>
        </w:tabs>
      </w:pPr>
    </w:lvl>
    <w:lvl w:ilvl="3" w:tplc="A1F8102A">
      <w:numFmt w:val="none"/>
      <w:lvlText w:val=""/>
      <w:lvlJc w:val="left"/>
      <w:pPr>
        <w:tabs>
          <w:tab w:val="num" w:pos="360"/>
        </w:tabs>
      </w:pPr>
    </w:lvl>
    <w:lvl w:ilvl="4" w:tplc="8FA6482C">
      <w:numFmt w:val="none"/>
      <w:lvlText w:val=""/>
      <w:lvlJc w:val="left"/>
      <w:pPr>
        <w:tabs>
          <w:tab w:val="num" w:pos="360"/>
        </w:tabs>
      </w:pPr>
    </w:lvl>
    <w:lvl w:ilvl="5" w:tplc="19C63D1E">
      <w:numFmt w:val="none"/>
      <w:lvlText w:val=""/>
      <w:lvlJc w:val="left"/>
      <w:pPr>
        <w:tabs>
          <w:tab w:val="num" w:pos="360"/>
        </w:tabs>
      </w:pPr>
    </w:lvl>
    <w:lvl w:ilvl="6" w:tplc="2FAC2C18">
      <w:numFmt w:val="none"/>
      <w:lvlText w:val=""/>
      <w:lvlJc w:val="left"/>
      <w:pPr>
        <w:tabs>
          <w:tab w:val="num" w:pos="360"/>
        </w:tabs>
      </w:pPr>
    </w:lvl>
    <w:lvl w:ilvl="7" w:tplc="F45ADEB4">
      <w:numFmt w:val="none"/>
      <w:lvlText w:val=""/>
      <w:lvlJc w:val="left"/>
      <w:pPr>
        <w:tabs>
          <w:tab w:val="num" w:pos="360"/>
        </w:tabs>
      </w:pPr>
    </w:lvl>
    <w:lvl w:ilvl="8" w:tplc="253CC3F2">
      <w:numFmt w:val="none"/>
      <w:lvlText w:val=""/>
      <w:lvlJc w:val="left"/>
      <w:pPr>
        <w:tabs>
          <w:tab w:val="num" w:pos="360"/>
        </w:tabs>
      </w:pPr>
    </w:lvl>
  </w:abstractNum>
  <w:abstractNum w:abstractNumId="16" w15:restartNumberingAfterBreak="0">
    <w:nsid w:val="340E46F7"/>
    <w:multiLevelType w:val="hybridMultilevel"/>
    <w:tmpl w:val="149CFA7C"/>
    <w:lvl w:ilvl="0" w:tplc="7F427E76">
      <w:start w:val="1"/>
      <w:numFmt w:val="upperRoman"/>
      <w:lvlText w:val="%1."/>
      <w:lvlJc w:val="left"/>
      <w:pPr>
        <w:tabs>
          <w:tab w:val="num" w:pos="1003"/>
        </w:tabs>
        <w:ind w:left="976" w:hanging="256"/>
      </w:pPr>
      <w:rPr>
        <w:rFonts w:hint="default"/>
        <w:b w:val="0"/>
        <w:i w:val="0"/>
      </w:rPr>
    </w:lvl>
    <w:lvl w:ilvl="1" w:tplc="E7CE78B6">
      <w:start w:val="1"/>
      <w:numFmt w:val="decimal"/>
      <w:lvlText w:val="1.%2."/>
      <w:lvlJc w:val="left"/>
      <w:pPr>
        <w:tabs>
          <w:tab w:val="num" w:pos="1608"/>
        </w:tabs>
        <w:ind w:left="1608" w:hanging="360"/>
      </w:pPr>
      <w:rPr>
        <w:rFonts w:hint="default"/>
        <w:b w:val="0"/>
        <w:i w:val="0"/>
        <w:u w:val="none"/>
      </w:rPr>
    </w:lvl>
    <w:lvl w:ilvl="2" w:tplc="01F2E2B2">
      <w:start w:val="1"/>
      <w:numFmt w:val="bullet"/>
      <w:lvlText w:val=""/>
      <w:lvlPicBulletId w:val="0"/>
      <w:lvlJc w:val="left"/>
      <w:pPr>
        <w:tabs>
          <w:tab w:val="num" w:pos="1418"/>
        </w:tabs>
        <w:ind w:left="1702" w:hanging="284"/>
      </w:pPr>
      <w:rPr>
        <w:rFonts w:ascii="Symbol" w:hAnsi="Symbol" w:cs="Symbol" w:hint="default"/>
        <w:b/>
        <w:i w:val="0"/>
        <w:color w:val="auto"/>
      </w:rPr>
    </w:lvl>
    <w:lvl w:ilvl="3" w:tplc="346807BC">
      <w:start w:val="1"/>
      <w:numFmt w:val="bullet"/>
      <w:lvlText w:val=""/>
      <w:lvlJc w:val="left"/>
      <w:pPr>
        <w:tabs>
          <w:tab w:val="num" w:pos="0"/>
        </w:tabs>
        <w:ind w:left="-57" w:firstLine="57"/>
      </w:pPr>
      <w:rPr>
        <w:rFonts w:ascii="Wingdings" w:hAnsi="Wingdings" w:hint="default"/>
        <w:b w:val="0"/>
        <w:i w:val="0"/>
        <w:color w:val="auto"/>
      </w:rPr>
    </w:lvl>
    <w:lvl w:ilvl="4" w:tplc="04020019">
      <w:start w:val="1"/>
      <w:numFmt w:val="lowerLetter"/>
      <w:lvlText w:val="%5."/>
      <w:lvlJc w:val="left"/>
      <w:pPr>
        <w:tabs>
          <w:tab w:val="num" w:pos="3768"/>
        </w:tabs>
        <w:ind w:left="3768" w:hanging="360"/>
      </w:pPr>
    </w:lvl>
    <w:lvl w:ilvl="5" w:tplc="D944A27A">
      <w:start w:val="1"/>
      <w:numFmt w:val="bullet"/>
      <w:lvlText w:val="-"/>
      <w:lvlJc w:val="left"/>
      <w:pPr>
        <w:tabs>
          <w:tab w:val="num" w:pos="4668"/>
        </w:tabs>
        <w:ind w:left="4668" w:hanging="360"/>
      </w:pPr>
      <w:rPr>
        <w:rFonts w:ascii="Times New Roman" w:eastAsia="SimSun" w:hAnsi="Times New Roman" w:cs="Times New Roman" w:hint="default"/>
      </w:rPr>
    </w:lvl>
    <w:lvl w:ilvl="6" w:tplc="0402000F" w:tentative="1">
      <w:start w:val="1"/>
      <w:numFmt w:val="decimal"/>
      <w:lvlText w:val="%7."/>
      <w:lvlJc w:val="left"/>
      <w:pPr>
        <w:tabs>
          <w:tab w:val="num" w:pos="5208"/>
        </w:tabs>
        <w:ind w:left="5208" w:hanging="360"/>
      </w:pPr>
    </w:lvl>
    <w:lvl w:ilvl="7" w:tplc="04020019" w:tentative="1">
      <w:start w:val="1"/>
      <w:numFmt w:val="lowerLetter"/>
      <w:lvlText w:val="%8."/>
      <w:lvlJc w:val="left"/>
      <w:pPr>
        <w:tabs>
          <w:tab w:val="num" w:pos="5928"/>
        </w:tabs>
        <w:ind w:left="5928" w:hanging="360"/>
      </w:pPr>
    </w:lvl>
    <w:lvl w:ilvl="8" w:tplc="0402001B" w:tentative="1">
      <w:start w:val="1"/>
      <w:numFmt w:val="lowerRoman"/>
      <w:lvlText w:val="%9."/>
      <w:lvlJc w:val="right"/>
      <w:pPr>
        <w:tabs>
          <w:tab w:val="num" w:pos="6648"/>
        </w:tabs>
        <w:ind w:left="6648" w:hanging="180"/>
      </w:pPr>
    </w:lvl>
  </w:abstractNum>
  <w:abstractNum w:abstractNumId="17" w15:restartNumberingAfterBreak="0">
    <w:nsid w:val="364239A9"/>
    <w:multiLevelType w:val="hybridMultilevel"/>
    <w:tmpl w:val="62B080FE"/>
    <w:lvl w:ilvl="0" w:tplc="415E26BE">
      <w:start w:val="1"/>
      <w:numFmt w:val="bullet"/>
      <w:lvlText w:val=""/>
      <w:lvlJc w:val="left"/>
      <w:pPr>
        <w:ind w:left="889" w:hanging="360"/>
      </w:pPr>
      <w:rPr>
        <w:rFonts w:ascii="Wingdings" w:hAnsi="Wingdings" w:hint="default"/>
        <w:color w:val="auto"/>
        <w:sz w:val="28"/>
        <w:szCs w:val="28"/>
      </w:rPr>
    </w:lvl>
    <w:lvl w:ilvl="1" w:tplc="04020003" w:tentative="1">
      <w:start w:val="1"/>
      <w:numFmt w:val="bullet"/>
      <w:lvlText w:val="o"/>
      <w:lvlJc w:val="left"/>
      <w:pPr>
        <w:ind w:left="1609" w:hanging="360"/>
      </w:pPr>
      <w:rPr>
        <w:rFonts w:ascii="Courier New" w:hAnsi="Courier New" w:cs="Courier New" w:hint="default"/>
      </w:rPr>
    </w:lvl>
    <w:lvl w:ilvl="2" w:tplc="04020005" w:tentative="1">
      <w:start w:val="1"/>
      <w:numFmt w:val="bullet"/>
      <w:lvlText w:val=""/>
      <w:lvlJc w:val="left"/>
      <w:pPr>
        <w:ind w:left="2329" w:hanging="360"/>
      </w:pPr>
      <w:rPr>
        <w:rFonts w:ascii="Wingdings" w:hAnsi="Wingdings" w:hint="default"/>
      </w:rPr>
    </w:lvl>
    <w:lvl w:ilvl="3" w:tplc="04020001" w:tentative="1">
      <w:start w:val="1"/>
      <w:numFmt w:val="bullet"/>
      <w:lvlText w:val=""/>
      <w:lvlJc w:val="left"/>
      <w:pPr>
        <w:ind w:left="3049" w:hanging="360"/>
      </w:pPr>
      <w:rPr>
        <w:rFonts w:ascii="Symbol" w:hAnsi="Symbol" w:hint="default"/>
      </w:rPr>
    </w:lvl>
    <w:lvl w:ilvl="4" w:tplc="04020003" w:tentative="1">
      <w:start w:val="1"/>
      <w:numFmt w:val="bullet"/>
      <w:lvlText w:val="o"/>
      <w:lvlJc w:val="left"/>
      <w:pPr>
        <w:ind w:left="3769" w:hanging="360"/>
      </w:pPr>
      <w:rPr>
        <w:rFonts w:ascii="Courier New" w:hAnsi="Courier New" w:cs="Courier New" w:hint="default"/>
      </w:rPr>
    </w:lvl>
    <w:lvl w:ilvl="5" w:tplc="04020005" w:tentative="1">
      <w:start w:val="1"/>
      <w:numFmt w:val="bullet"/>
      <w:lvlText w:val=""/>
      <w:lvlJc w:val="left"/>
      <w:pPr>
        <w:ind w:left="4489" w:hanging="360"/>
      </w:pPr>
      <w:rPr>
        <w:rFonts w:ascii="Wingdings" w:hAnsi="Wingdings" w:hint="default"/>
      </w:rPr>
    </w:lvl>
    <w:lvl w:ilvl="6" w:tplc="04020001" w:tentative="1">
      <w:start w:val="1"/>
      <w:numFmt w:val="bullet"/>
      <w:lvlText w:val=""/>
      <w:lvlJc w:val="left"/>
      <w:pPr>
        <w:ind w:left="5209" w:hanging="360"/>
      </w:pPr>
      <w:rPr>
        <w:rFonts w:ascii="Symbol" w:hAnsi="Symbol" w:hint="default"/>
      </w:rPr>
    </w:lvl>
    <w:lvl w:ilvl="7" w:tplc="04020003" w:tentative="1">
      <w:start w:val="1"/>
      <w:numFmt w:val="bullet"/>
      <w:lvlText w:val="o"/>
      <w:lvlJc w:val="left"/>
      <w:pPr>
        <w:ind w:left="5929" w:hanging="360"/>
      </w:pPr>
      <w:rPr>
        <w:rFonts w:ascii="Courier New" w:hAnsi="Courier New" w:cs="Courier New" w:hint="default"/>
      </w:rPr>
    </w:lvl>
    <w:lvl w:ilvl="8" w:tplc="04020005" w:tentative="1">
      <w:start w:val="1"/>
      <w:numFmt w:val="bullet"/>
      <w:lvlText w:val=""/>
      <w:lvlJc w:val="left"/>
      <w:pPr>
        <w:ind w:left="6649" w:hanging="360"/>
      </w:pPr>
      <w:rPr>
        <w:rFonts w:ascii="Wingdings" w:hAnsi="Wingdings" w:hint="default"/>
      </w:rPr>
    </w:lvl>
  </w:abstractNum>
  <w:abstractNum w:abstractNumId="18" w15:restartNumberingAfterBreak="0">
    <w:nsid w:val="3C9C7DC4"/>
    <w:multiLevelType w:val="hybridMultilevel"/>
    <w:tmpl w:val="87E27C0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4C872A4B"/>
    <w:multiLevelType w:val="hybridMultilevel"/>
    <w:tmpl w:val="6896B5DA"/>
    <w:lvl w:ilvl="0" w:tplc="0402000B">
      <w:start w:val="1"/>
      <w:numFmt w:val="bullet"/>
      <w:lvlText w:val=""/>
      <w:lvlJc w:val="left"/>
      <w:pPr>
        <w:ind w:left="889" w:hanging="360"/>
      </w:pPr>
      <w:rPr>
        <w:rFonts w:ascii="Wingdings" w:hAnsi="Wingdings" w:hint="default"/>
        <w:color w:val="auto"/>
        <w:sz w:val="28"/>
        <w:szCs w:val="28"/>
      </w:rPr>
    </w:lvl>
    <w:lvl w:ilvl="1" w:tplc="04020003" w:tentative="1">
      <w:start w:val="1"/>
      <w:numFmt w:val="bullet"/>
      <w:lvlText w:val="o"/>
      <w:lvlJc w:val="left"/>
      <w:pPr>
        <w:ind w:left="1609" w:hanging="360"/>
      </w:pPr>
      <w:rPr>
        <w:rFonts w:ascii="Courier New" w:hAnsi="Courier New" w:cs="Courier New" w:hint="default"/>
      </w:rPr>
    </w:lvl>
    <w:lvl w:ilvl="2" w:tplc="04020005" w:tentative="1">
      <w:start w:val="1"/>
      <w:numFmt w:val="bullet"/>
      <w:lvlText w:val=""/>
      <w:lvlJc w:val="left"/>
      <w:pPr>
        <w:ind w:left="2329" w:hanging="360"/>
      </w:pPr>
      <w:rPr>
        <w:rFonts w:ascii="Wingdings" w:hAnsi="Wingdings" w:hint="default"/>
      </w:rPr>
    </w:lvl>
    <w:lvl w:ilvl="3" w:tplc="04020001" w:tentative="1">
      <w:start w:val="1"/>
      <w:numFmt w:val="bullet"/>
      <w:lvlText w:val=""/>
      <w:lvlJc w:val="left"/>
      <w:pPr>
        <w:ind w:left="3049" w:hanging="360"/>
      </w:pPr>
      <w:rPr>
        <w:rFonts w:ascii="Symbol" w:hAnsi="Symbol" w:hint="default"/>
      </w:rPr>
    </w:lvl>
    <w:lvl w:ilvl="4" w:tplc="04020003" w:tentative="1">
      <w:start w:val="1"/>
      <w:numFmt w:val="bullet"/>
      <w:lvlText w:val="o"/>
      <w:lvlJc w:val="left"/>
      <w:pPr>
        <w:ind w:left="3769" w:hanging="360"/>
      </w:pPr>
      <w:rPr>
        <w:rFonts w:ascii="Courier New" w:hAnsi="Courier New" w:cs="Courier New" w:hint="default"/>
      </w:rPr>
    </w:lvl>
    <w:lvl w:ilvl="5" w:tplc="04020005" w:tentative="1">
      <w:start w:val="1"/>
      <w:numFmt w:val="bullet"/>
      <w:lvlText w:val=""/>
      <w:lvlJc w:val="left"/>
      <w:pPr>
        <w:ind w:left="4489" w:hanging="360"/>
      </w:pPr>
      <w:rPr>
        <w:rFonts w:ascii="Wingdings" w:hAnsi="Wingdings" w:hint="default"/>
      </w:rPr>
    </w:lvl>
    <w:lvl w:ilvl="6" w:tplc="04020001" w:tentative="1">
      <w:start w:val="1"/>
      <w:numFmt w:val="bullet"/>
      <w:lvlText w:val=""/>
      <w:lvlJc w:val="left"/>
      <w:pPr>
        <w:ind w:left="5209" w:hanging="360"/>
      </w:pPr>
      <w:rPr>
        <w:rFonts w:ascii="Symbol" w:hAnsi="Symbol" w:hint="default"/>
      </w:rPr>
    </w:lvl>
    <w:lvl w:ilvl="7" w:tplc="04020003" w:tentative="1">
      <w:start w:val="1"/>
      <w:numFmt w:val="bullet"/>
      <w:lvlText w:val="o"/>
      <w:lvlJc w:val="left"/>
      <w:pPr>
        <w:ind w:left="5929" w:hanging="360"/>
      </w:pPr>
      <w:rPr>
        <w:rFonts w:ascii="Courier New" w:hAnsi="Courier New" w:cs="Courier New" w:hint="default"/>
      </w:rPr>
    </w:lvl>
    <w:lvl w:ilvl="8" w:tplc="04020005" w:tentative="1">
      <w:start w:val="1"/>
      <w:numFmt w:val="bullet"/>
      <w:lvlText w:val=""/>
      <w:lvlJc w:val="left"/>
      <w:pPr>
        <w:ind w:left="6649" w:hanging="360"/>
      </w:pPr>
      <w:rPr>
        <w:rFonts w:ascii="Wingdings" w:hAnsi="Wingdings" w:hint="default"/>
      </w:rPr>
    </w:lvl>
  </w:abstractNum>
  <w:abstractNum w:abstractNumId="20" w15:restartNumberingAfterBreak="0">
    <w:nsid w:val="568D1EF1"/>
    <w:multiLevelType w:val="hybridMultilevel"/>
    <w:tmpl w:val="604EE58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57FC2A0F"/>
    <w:multiLevelType w:val="hybridMultilevel"/>
    <w:tmpl w:val="73946BD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2" w15:restartNumberingAfterBreak="0">
    <w:nsid w:val="5EDB4AF7"/>
    <w:multiLevelType w:val="multilevel"/>
    <w:tmpl w:val="E5048056"/>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3" w15:restartNumberingAfterBreak="0">
    <w:nsid w:val="6675554F"/>
    <w:multiLevelType w:val="hybridMultilevel"/>
    <w:tmpl w:val="011836BC"/>
    <w:lvl w:ilvl="0" w:tplc="04020001">
      <w:start w:val="1"/>
      <w:numFmt w:val="bullet"/>
      <w:lvlText w:val=""/>
      <w:lvlJc w:val="left"/>
      <w:pPr>
        <w:tabs>
          <w:tab w:val="num" w:pos="113"/>
        </w:tabs>
        <w:ind w:left="0" w:firstLine="113"/>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A645CBF"/>
    <w:multiLevelType w:val="hybridMultilevel"/>
    <w:tmpl w:val="A4FCD158"/>
    <w:lvl w:ilvl="0" w:tplc="747E6E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2B96D06"/>
    <w:multiLevelType w:val="hybridMultilevel"/>
    <w:tmpl w:val="4F5E22D4"/>
    <w:lvl w:ilvl="0" w:tplc="04020005">
      <w:start w:val="1"/>
      <w:numFmt w:val="bullet"/>
      <w:lvlText w:val=""/>
      <w:lvlJc w:val="left"/>
      <w:pPr>
        <w:ind w:left="1069" w:hanging="360"/>
      </w:pPr>
      <w:rPr>
        <w:rFonts w:ascii="Wingdings" w:hAnsi="Wingdings" w:hint="default"/>
        <w:sz w:val="24"/>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6" w15:restartNumberingAfterBreak="0">
    <w:nsid w:val="76613022"/>
    <w:multiLevelType w:val="hybridMultilevel"/>
    <w:tmpl w:val="A4C6C4D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8E94BAA"/>
    <w:multiLevelType w:val="hybridMultilevel"/>
    <w:tmpl w:val="D5805112"/>
    <w:name w:val="WW8Num3"/>
    <w:lvl w:ilvl="0" w:tplc="58B81E18">
      <w:numFmt w:val="bullet"/>
      <w:lvlText w:val=""/>
      <w:lvlJc w:val="left"/>
      <w:pPr>
        <w:tabs>
          <w:tab w:val="num" w:pos="0"/>
        </w:tabs>
        <w:ind w:left="0" w:firstLine="0"/>
      </w:pPr>
      <w:rPr>
        <w:rFonts w:ascii="Wingdings" w:eastAsia="Times New Roman" w:hAnsi="Wingdings"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5"/>
  </w:num>
  <w:num w:numId="3">
    <w:abstractNumId w:val="7"/>
  </w:num>
  <w:num w:numId="4">
    <w:abstractNumId w:val="14"/>
  </w:num>
  <w:num w:numId="5">
    <w:abstractNumId w:val="17"/>
  </w:num>
  <w:num w:numId="6">
    <w:abstractNumId w:val="9"/>
  </w:num>
  <w:num w:numId="7">
    <w:abstractNumId w:val="22"/>
  </w:num>
  <w:num w:numId="8">
    <w:abstractNumId w:val="18"/>
  </w:num>
  <w:num w:numId="9">
    <w:abstractNumId w:val="4"/>
  </w:num>
  <w:num w:numId="10">
    <w:abstractNumId w:val="3"/>
  </w:num>
  <w:num w:numId="11">
    <w:abstractNumId w:val="0"/>
  </w:num>
  <w:num w:numId="12">
    <w:abstractNumId w:val="19"/>
  </w:num>
  <w:num w:numId="13">
    <w:abstractNumId w:val="2"/>
  </w:num>
  <w:num w:numId="14">
    <w:abstractNumId w:val="1"/>
  </w:num>
  <w:num w:numId="15">
    <w:abstractNumId w:val="23"/>
  </w:num>
  <w:num w:numId="16">
    <w:abstractNumId w:val="10"/>
  </w:num>
  <w:num w:numId="17">
    <w:abstractNumId w:val="5"/>
  </w:num>
  <w:num w:numId="18">
    <w:abstractNumId w:val="13"/>
  </w:num>
  <w:num w:numId="19">
    <w:abstractNumId w:val="12"/>
  </w:num>
  <w:num w:numId="20">
    <w:abstractNumId w:val="20"/>
  </w:num>
  <w:num w:numId="21">
    <w:abstractNumId w:val="6"/>
  </w:num>
  <w:num w:numId="22">
    <w:abstractNumId w:val="21"/>
  </w:num>
  <w:num w:numId="23">
    <w:abstractNumId w:val="8"/>
  </w:num>
  <w:num w:numId="24">
    <w:abstractNumId w:val="25"/>
  </w:num>
  <w:num w:numId="25">
    <w:abstractNumId w:val="11"/>
  </w:num>
  <w:num w:numId="26">
    <w:abstractNumId w:val="24"/>
  </w:num>
  <w:num w:numId="27">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925"/>
    <w:rsid w:val="00002F64"/>
    <w:rsid w:val="0000456A"/>
    <w:rsid w:val="00004717"/>
    <w:rsid w:val="000054D3"/>
    <w:rsid w:val="000077E7"/>
    <w:rsid w:val="0001128D"/>
    <w:rsid w:val="000114F2"/>
    <w:rsid w:val="00011D47"/>
    <w:rsid w:val="00013F35"/>
    <w:rsid w:val="00015268"/>
    <w:rsid w:val="00015486"/>
    <w:rsid w:val="00015FEC"/>
    <w:rsid w:val="00016B1B"/>
    <w:rsid w:val="00016E17"/>
    <w:rsid w:val="00016F6A"/>
    <w:rsid w:val="000171B1"/>
    <w:rsid w:val="000171D0"/>
    <w:rsid w:val="000174B2"/>
    <w:rsid w:val="00017559"/>
    <w:rsid w:val="00017ACD"/>
    <w:rsid w:val="00020110"/>
    <w:rsid w:val="00020667"/>
    <w:rsid w:val="0002110A"/>
    <w:rsid w:val="0002233A"/>
    <w:rsid w:val="00022B63"/>
    <w:rsid w:val="00023B0F"/>
    <w:rsid w:val="0002422F"/>
    <w:rsid w:val="00024927"/>
    <w:rsid w:val="00025141"/>
    <w:rsid w:val="00025B42"/>
    <w:rsid w:val="00026F78"/>
    <w:rsid w:val="000271F6"/>
    <w:rsid w:val="00027858"/>
    <w:rsid w:val="000301AA"/>
    <w:rsid w:val="00031B4D"/>
    <w:rsid w:val="00031C3C"/>
    <w:rsid w:val="000321AD"/>
    <w:rsid w:val="00032BAA"/>
    <w:rsid w:val="00033116"/>
    <w:rsid w:val="00033407"/>
    <w:rsid w:val="00033838"/>
    <w:rsid w:val="00034853"/>
    <w:rsid w:val="0003505F"/>
    <w:rsid w:val="00035268"/>
    <w:rsid w:val="00035766"/>
    <w:rsid w:val="000372BB"/>
    <w:rsid w:val="000373A6"/>
    <w:rsid w:val="00042B1C"/>
    <w:rsid w:val="00042C1F"/>
    <w:rsid w:val="00043407"/>
    <w:rsid w:val="0004503A"/>
    <w:rsid w:val="0004590A"/>
    <w:rsid w:val="00046705"/>
    <w:rsid w:val="00046A27"/>
    <w:rsid w:val="00047362"/>
    <w:rsid w:val="000500B4"/>
    <w:rsid w:val="0005094A"/>
    <w:rsid w:val="00050BCC"/>
    <w:rsid w:val="000510DB"/>
    <w:rsid w:val="00051360"/>
    <w:rsid w:val="0005144F"/>
    <w:rsid w:val="000525AF"/>
    <w:rsid w:val="0005302A"/>
    <w:rsid w:val="00055A93"/>
    <w:rsid w:val="00055CD3"/>
    <w:rsid w:val="0005643A"/>
    <w:rsid w:val="000566C8"/>
    <w:rsid w:val="000571ED"/>
    <w:rsid w:val="00057D3C"/>
    <w:rsid w:val="0006222B"/>
    <w:rsid w:val="00062D30"/>
    <w:rsid w:val="0006338B"/>
    <w:rsid w:val="000643B8"/>
    <w:rsid w:val="000647EB"/>
    <w:rsid w:val="00064DB1"/>
    <w:rsid w:val="00065CC3"/>
    <w:rsid w:val="00066B07"/>
    <w:rsid w:val="000675A6"/>
    <w:rsid w:val="000679C9"/>
    <w:rsid w:val="00067D20"/>
    <w:rsid w:val="00070888"/>
    <w:rsid w:val="00070B88"/>
    <w:rsid w:val="00071B89"/>
    <w:rsid w:val="0007418C"/>
    <w:rsid w:val="000741B7"/>
    <w:rsid w:val="00074BC9"/>
    <w:rsid w:val="00075E09"/>
    <w:rsid w:val="00076F59"/>
    <w:rsid w:val="0007705F"/>
    <w:rsid w:val="0008044E"/>
    <w:rsid w:val="00080CA2"/>
    <w:rsid w:val="00080D21"/>
    <w:rsid w:val="00081E16"/>
    <w:rsid w:val="00082678"/>
    <w:rsid w:val="00082CA8"/>
    <w:rsid w:val="0008327F"/>
    <w:rsid w:val="0008380F"/>
    <w:rsid w:val="00083898"/>
    <w:rsid w:val="000838FB"/>
    <w:rsid w:val="00084811"/>
    <w:rsid w:val="00085F6C"/>
    <w:rsid w:val="000865A8"/>
    <w:rsid w:val="00086B54"/>
    <w:rsid w:val="00093919"/>
    <w:rsid w:val="0009427E"/>
    <w:rsid w:val="000970AB"/>
    <w:rsid w:val="0009768A"/>
    <w:rsid w:val="00097755"/>
    <w:rsid w:val="000A02DF"/>
    <w:rsid w:val="000A04C6"/>
    <w:rsid w:val="000A0CDA"/>
    <w:rsid w:val="000A11DD"/>
    <w:rsid w:val="000A28BB"/>
    <w:rsid w:val="000A31B2"/>
    <w:rsid w:val="000A35AC"/>
    <w:rsid w:val="000A5E8C"/>
    <w:rsid w:val="000A75C6"/>
    <w:rsid w:val="000B02A7"/>
    <w:rsid w:val="000B077D"/>
    <w:rsid w:val="000B0C09"/>
    <w:rsid w:val="000B0D6C"/>
    <w:rsid w:val="000B370D"/>
    <w:rsid w:val="000B3B26"/>
    <w:rsid w:val="000B487A"/>
    <w:rsid w:val="000B4E08"/>
    <w:rsid w:val="000B5174"/>
    <w:rsid w:val="000B52C0"/>
    <w:rsid w:val="000B5658"/>
    <w:rsid w:val="000B5B0D"/>
    <w:rsid w:val="000B6188"/>
    <w:rsid w:val="000B6A2B"/>
    <w:rsid w:val="000B719A"/>
    <w:rsid w:val="000B7D1D"/>
    <w:rsid w:val="000C0391"/>
    <w:rsid w:val="000C0A9C"/>
    <w:rsid w:val="000C0F19"/>
    <w:rsid w:val="000C1981"/>
    <w:rsid w:val="000C262E"/>
    <w:rsid w:val="000C2E74"/>
    <w:rsid w:val="000C2F83"/>
    <w:rsid w:val="000C35C5"/>
    <w:rsid w:val="000C3813"/>
    <w:rsid w:val="000C3DD8"/>
    <w:rsid w:val="000C4119"/>
    <w:rsid w:val="000C47E4"/>
    <w:rsid w:val="000C4879"/>
    <w:rsid w:val="000C5471"/>
    <w:rsid w:val="000C59F7"/>
    <w:rsid w:val="000C6752"/>
    <w:rsid w:val="000C6920"/>
    <w:rsid w:val="000C6F0B"/>
    <w:rsid w:val="000C7B41"/>
    <w:rsid w:val="000D07CD"/>
    <w:rsid w:val="000D0C5A"/>
    <w:rsid w:val="000D0E76"/>
    <w:rsid w:val="000D2B27"/>
    <w:rsid w:val="000D2B4D"/>
    <w:rsid w:val="000D3A1E"/>
    <w:rsid w:val="000D431A"/>
    <w:rsid w:val="000D4496"/>
    <w:rsid w:val="000D4A2E"/>
    <w:rsid w:val="000D5110"/>
    <w:rsid w:val="000D51B7"/>
    <w:rsid w:val="000D5839"/>
    <w:rsid w:val="000D5C00"/>
    <w:rsid w:val="000D5F9A"/>
    <w:rsid w:val="000D6E0A"/>
    <w:rsid w:val="000D7FA2"/>
    <w:rsid w:val="000E012B"/>
    <w:rsid w:val="000E03DA"/>
    <w:rsid w:val="000E0B85"/>
    <w:rsid w:val="000E0E45"/>
    <w:rsid w:val="000E1457"/>
    <w:rsid w:val="000E3391"/>
    <w:rsid w:val="000E367E"/>
    <w:rsid w:val="000E3831"/>
    <w:rsid w:val="000E41B9"/>
    <w:rsid w:val="000E5FF9"/>
    <w:rsid w:val="000E6858"/>
    <w:rsid w:val="000E740D"/>
    <w:rsid w:val="000E7993"/>
    <w:rsid w:val="000E7F5E"/>
    <w:rsid w:val="000F0266"/>
    <w:rsid w:val="000F0C34"/>
    <w:rsid w:val="000F0CF3"/>
    <w:rsid w:val="000F1246"/>
    <w:rsid w:val="000F1C5F"/>
    <w:rsid w:val="000F2A9A"/>
    <w:rsid w:val="000F3A89"/>
    <w:rsid w:val="000F69A9"/>
    <w:rsid w:val="000F6A6A"/>
    <w:rsid w:val="000F6B6D"/>
    <w:rsid w:val="000F73C3"/>
    <w:rsid w:val="000F7797"/>
    <w:rsid w:val="001008EB"/>
    <w:rsid w:val="001014FF"/>
    <w:rsid w:val="001023B2"/>
    <w:rsid w:val="00102EC7"/>
    <w:rsid w:val="00103346"/>
    <w:rsid w:val="00104B88"/>
    <w:rsid w:val="00105A78"/>
    <w:rsid w:val="001060E8"/>
    <w:rsid w:val="00110F43"/>
    <w:rsid w:val="00111958"/>
    <w:rsid w:val="00111C67"/>
    <w:rsid w:val="00112136"/>
    <w:rsid w:val="0011223A"/>
    <w:rsid w:val="00112409"/>
    <w:rsid w:val="00114BEA"/>
    <w:rsid w:val="00115CA1"/>
    <w:rsid w:val="00116256"/>
    <w:rsid w:val="00116337"/>
    <w:rsid w:val="00117251"/>
    <w:rsid w:val="0011753D"/>
    <w:rsid w:val="00117B4B"/>
    <w:rsid w:val="001205C1"/>
    <w:rsid w:val="0012140D"/>
    <w:rsid w:val="00122FEA"/>
    <w:rsid w:val="0012328D"/>
    <w:rsid w:val="00123C7C"/>
    <w:rsid w:val="00124261"/>
    <w:rsid w:val="001245CF"/>
    <w:rsid w:val="00125A8D"/>
    <w:rsid w:val="00125C21"/>
    <w:rsid w:val="00126606"/>
    <w:rsid w:val="001302A8"/>
    <w:rsid w:val="00130628"/>
    <w:rsid w:val="0013344D"/>
    <w:rsid w:val="001345C0"/>
    <w:rsid w:val="00135D7C"/>
    <w:rsid w:val="00135F12"/>
    <w:rsid w:val="001368FE"/>
    <w:rsid w:val="00136E27"/>
    <w:rsid w:val="00136E64"/>
    <w:rsid w:val="001373EE"/>
    <w:rsid w:val="00140218"/>
    <w:rsid w:val="001409FE"/>
    <w:rsid w:val="001424B0"/>
    <w:rsid w:val="001428FB"/>
    <w:rsid w:val="00142C11"/>
    <w:rsid w:val="00143513"/>
    <w:rsid w:val="00143978"/>
    <w:rsid w:val="00143C8D"/>
    <w:rsid w:val="001463C7"/>
    <w:rsid w:val="001468F9"/>
    <w:rsid w:val="0014747B"/>
    <w:rsid w:val="00150CC2"/>
    <w:rsid w:val="0015204C"/>
    <w:rsid w:val="0015326C"/>
    <w:rsid w:val="00154841"/>
    <w:rsid w:val="00155630"/>
    <w:rsid w:val="00155FF6"/>
    <w:rsid w:val="001561C4"/>
    <w:rsid w:val="00156771"/>
    <w:rsid w:val="00156E44"/>
    <w:rsid w:val="00156E47"/>
    <w:rsid w:val="00156EBF"/>
    <w:rsid w:val="00157554"/>
    <w:rsid w:val="00160343"/>
    <w:rsid w:val="00160D26"/>
    <w:rsid w:val="00160DED"/>
    <w:rsid w:val="0016390E"/>
    <w:rsid w:val="00163FAC"/>
    <w:rsid w:val="0016414B"/>
    <w:rsid w:val="001647B5"/>
    <w:rsid w:val="00164E43"/>
    <w:rsid w:val="00166568"/>
    <w:rsid w:val="00167311"/>
    <w:rsid w:val="00170CDA"/>
    <w:rsid w:val="001714C4"/>
    <w:rsid w:val="00172A08"/>
    <w:rsid w:val="00174F31"/>
    <w:rsid w:val="001753A1"/>
    <w:rsid w:val="00175C2E"/>
    <w:rsid w:val="00176882"/>
    <w:rsid w:val="001769EA"/>
    <w:rsid w:val="00177C91"/>
    <w:rsid w:val="0018124D"/>
    <w:rsid w:val="00181627"/>
    <w:rsid w:val="00181C2C"/>
    <w:rsid w:val="00181F29"/>
    <w:rsid w:val="00182554"/>
    <w:rsid w:val="001826F3"/>
    <w:rsid w:val="00182752"/>
    <w:rsid w:val="001833C7"/>
    <w:rsid w:val="001834E1"/>
    <w:rsid w:val="0018468E"/>
    <w:rsid w:val="001851EF"/>
    <w:rsid w:val="0018781B"/>
    <w:rsid w:val="00187CD2"/>
    <w:rsid w:val="00191422"/>
    <w:rsid w:val="00191D9D"/>
    <w:rsid w:val="00192262"/>
    <w:rsid w:val="00192668"/>
    <w:rsid w:val="00193349"/>
    <w:rsid w:val="0019337B"/>
    <w:rsid w:val="00193704"/>
    <w:rsid w:val="00193A8B"/>
    <w:rsid w:val="00194814"/>
    <w:rsid w:val="00194A0E"/>
    <w:rsid w:val="00194A62"/>
    <w:rsid w:val="00194F15"/>
    <w:rsid w:val="00195989"/>
    <w:rsid w:val="0019674C"/>
    <w:rsid w:val="00196B2D"/>
    <w:rsid w:val="00197F0A"/>
    <w:rsid w:val="001A03B5"/>
    <w:rsid w:val="001A0C86"/>
    <w:rsid w:val="001A0D51"/>
    <w:rsid w:val="001A11A7"/>
    <w:rsid w:val="001A1DB0"/>
    <w:rsid w:val="001A2096"/>
    <w:rsid w:val="001A27A4"/>
    <w:rsid w:val="001A2DC3"/>
    <w:rsid w:val="001A2E4B"/>
    <w:rsid w:val="001A3B30"/>
    <w:rsid w:val="001A4230"/>
    <w:rsid w:val="001A49C3"/>
    <w:rsid w:val="001A4D2B"/>
    <w:rsid w:val="001A4D4B"/>
    <w:rsid w:val="001A6E59"/>
    <w:rsid w:val="001A73B5"/>
    <w:rsid w:val="001A7595"/>
    <w:rsid w:val="001A7911"/>
    <w:rsid w:val="001A7E2D"/>
    <w:rsid w:val="001B2536"/>
    <w:rsid w:val="001B2849"/>
    <w:rsid w:val="001B35F1"/>
    <w:rsid w:val="001B4605"/>
    <w:rsid w:val="001B4BE7"/>
    <w:rsid w:val="001B4CE7"/>
    <w:rsid w:val="001B51D0"/>
    <w:rsid w:val="001B5460"/>
    <w:rsid w:val="001B5E86"/>
    <w:rsid w:val="001B6404"/>
    <w:rsid w:val="001B6ED4"/>
    <w:rsid w:val="001B70A4"/>
    <w:rsid w:val="001B7F50"/>
    <w:rsid w:val="001C172D"/>
    <w:rsid w:val="001C2C60"/>
    <w:rsid w:val="001C337C"/>
    <w:rsid w:val="001C36D7"/>
    <w:rsid w:val="001C3DB0"/>
    <w:rsid w:val="001C7315"/>
    <w:rsid w:val="001C755B"/>
    <w:rsid w:val="001C768F"/>
    <w:rsid w:val="001C7DDF"/>
    <w:rsid w:val="001D0913"/>
    <w:rsid w:val="001D1196"/>
    <w:rsid w:val="001D1876"/>
    <w:rsid w:val="001D1BCC"/>
    <w:rsid w:val="001D363C"/>
    <w:rsid w:val="001D53D2"/>
    <w:rsid w:val="001D5D53"/>
    <w:rsid w:val="001D5F6E"/>
    <w:rsid w:val="001D6063"/>
    <w:rsid w:val="001D621C"/>
    <w:rsid w:val="001D6A94"/>
    <w:rsid w:val="001D76DE"/>
    <w:rsid w:val="001E0D1E"/>
    <w:rsid w:val="001E1227"/>
    <w:rsid w:val="001E17EE"/>
    <w:rsid w:val="001E375D"/>
    <w:rsid w:val="001E4207"/>
    <w:rsid w:val="001E48A2"/>
    <w:rsid w:val="001E4D4C"/>
    <w:rsid w:val="001E542E"/>
    <w:rsid w:val="001E5DEA"/>
    <w:rsid w:val="001E5EAA"/>
    <w:rsid w:val="001E6ABB"/>
    <w:rsid w:val="001E768E"/>
    <w:rsid w:val="001E7B35"/>
    <w:rsid w:val="001F01C1"/>
    <w:rsid w:val="001F0218"/>
    <w:rsid w:val="001F0A4A"/>
    <w:rsid w:val="001F0AF3"/>
    <w:rsid w:val="001F14DA"/>
    <w:rsid w:val="001F3043"/>
    <w:rsid w:val="001F364F"/>
    <w:rsid w:val="001F3707"/>
    <w:rsid w:val="001F4302"/>
    <w:rsid w:val="001F4A6A"/>
    <w:rsid w:val="001F6184"/>
    <w:rsid w:val="001F6198"/>
    <w:rsid w:val="001F6449"/>
    <w:rsid w:val="001F7790"/>
    <w:rsid w:val="001F7BC4"/>
    <w:rsid w:val="001F7FCE"/>
    <w:rsid w:val="002005D0"/>
    <w:rsid w:val="00200842"/>
    <w:rsid w:val="002023C3"/>
    <w:rsid w:val="00202BB1"/>
    <w:rsid w:val="00203C2A"/>
    <w:rsid w:val="00205FD6"/>
    <w:rsid w:val="00206380"/>
    <w:rsid w:val="002065A4"/>
    <w:rsid w:val="00206C73"/>
    <w:rsid w:val="00206F47"/>
    <w:rsid w:val="00207A76"/>
    <w:rsid w:val="002109F0"/>
    <w:rsid w:val="00210AD3"/>
    <w:rsid w:val="002116DA"/>
    <w:rsid w:val="00212CC0"/>
    <w:rsid w:val="00212D80"/>
    <w:rsid w:val="002134C2"/>
    <w:rsid w:val="00213E17"/>
    <w:rsid w:val="002141A1"/>
    <w:rsid w:val="0021465A"/>
    <w:rsid w:val="00214E80"/>
    <w:rsid w:val="00214F28"/>
    <w:rsid w:val="0021611D"/>
    <w:rsid w:val="00217584"/>
    <w:rsid w:val="00217999"/>
    <w:rsid w:val="00221249"/>
    <w:rsid w:val="00223830"/>
    <w:rsid w:val="00224303"/>
    <w:rsid w:val="00227508"/>
    <w:rsid w:val="0023037D"/>
    <w:rsid w:val="0023103D"/>
    <w:rsid w:val="002324C6"/>
    <w:rsid w:val="00232E8B"/>
    <w:rsid w:val="002332F2"/>
    <w:rsid w:val="00233439"/>
    <w:rsid w:val="002334FB"/>
    <w:rsid w:val="00234100"/>
    <w:rsid w:val="00235727"/>
    <w:rsid w:val="00235F89"/>
    <w:rsid w:val="002421E6"/>
    <w:rsid w:val="002429A5"/>
    <w:rsid w:val="00242DC0"/>
    <w:rsid w:val="00243486"/>
    <w:rsid w:val="002435B9"/>
    <w:rsid w:val="00243C75"/>
    <w:rsid w:val="00244013"/>
    <w:rsid w:val="00244CD9"/>
    <w:rsid w:val="002451AF"/>
    <w:rsid w:val="0024562B"/>
    <w:rsid w:val="00247B41"/>
    <w:rsid w:val="00251767"/>
    <w:rsid w:val="00252856"/>
    <w:rsid w:val="00252D7B"/>
    <w:rsid w:val="0025310A"/>
    <w:rsid w:val="00253C2F"/>
    <w:rsid w:val="00254091"/>
    <w:rsid w:val="00254776"/>
    <w:rsid w:val="00254864"/>
    <w:rsid w:val="00254B67"/>
    <w:rsid w:val="002551B0"/>
    <w:rsid w:val="0025549B"/>
    <w:rsid w:val="00255885"/>
    <w:rsid w:val="00255A13"/>
    <w:rsid w:val="00255B77"/>
    <w:rsid w:val="00255FD0"/>
    <w:rsid w:val="00256E68"/>
    <w:rsid w:val="00260C9F"/>
    <w:rsid w:val="00260EC0"/>
    <w:rsid w:val="0026127C"/>
    <w:rsid w:val="00262208"/>
    <w:rsid w:val="00262C9B"/>
    <w:rsid w:val="00263BC1"/>
    <w:rsid w:val="00263E50"/>
    <w:rsid w:val="00264F0E"/>
    <w:rsid w:val="002650CA"/>
    <w:rsid w:val="00265D63"/>
    <w:rsid w:val="002676DA"/>
    <w:rsid w:val="002702A5"/>
    <w:rsid w:val="00270AC9"/>
    <w:rsid w:val="00270F0D"/>
    <w:rsid w:val="00272FC7"/>
    <w:rsid w:val="00273026"/>
    <w:rsid w:val="00274E61"/>
    <w:rsid w:val="00274ECB"/>
    <w:rsid w:val="00275478"/>
    <w:rsid w:val="00276470"/>
    <w:rsid w:val="002779FE"/>
    <w:rsid w:val="00277D91"/>
    <w:rsid w:val="002800BD"/>
    <w:rsid w:val="00280683"/>
    <w:rsid w:val="0028068B"/>
    <w:rsid w:val="00280E02"/>
    <w:rsid w:val="002818B3"/>
    <w:rsid w:val="00281F6E"/>
    <w:rsid w:val="00282012"/>
    <w:rsid w:val="002821D3"/>
    <w:rsid w:val="00283616"/>
    <w:rsid w:val="00284BC1"/>
    <w:rsid w:val="002856A1"/>
    <w:rsid w:val="00285843"/>
    <w:rsid w:val="00286200"/>
    <w:rsid w:val="0028718E"/>
    <w:rsid w:val="00287E58"/>
    <w:rsid w:val="00292426"/>
    <w:rsid w:val="002927DA"/>
    <w:rsid w:val="00292E90"/>
    <w:rsid w:val="002933FF"/>
    <w:rsid w:val="00294BCE"/>
    <w:rsid w:val="00294E92"/>
    <w:rsid w:val="00295E0F"/>
    <w:rsid w:val="002964FC"/>
    <w:rsid w:val="00296E54"/>
    <w:rsid w:val="002A0001"/>
    <w:rsid w:val="002A0482"/>
    <w:rsid w:val="002A0945"/>
    <w:rsid w:val="002A0BE2"/>
    <w:rsid w:val="002A11C6"/>
    <w:rsid w:val="002A3CD6"/>
    <w:rsid w:val="002A4234"/>
    <w:rsid w:val="002A5F96"/>
    <w:rsid w:val="002A6674"/>
    <w:rsid w:val="002A70B6"/>
    <w:rsid w:val="002A78E6"/>
    <w:rsid w:val="002A7969"/>
    <w:rsid w:val="002A7C5D"/>
    <w:rsid w:val="002A7D2E"/>
    <w:rsid w:val="002B0388"/>
    <w:rsid w:val="002B0A5A"/>
    <w:rsid w:val="002B21AF"/>
    <w:rsid w:val="002B2FFB"/>
    <w:rsid w:val="002B5082"/>
    <w:rsid w:val="002B683F"/>
    <w:rsid w:val="002B6E79"/>
    <w:rsid w:val="002B7970"/>
    <w:rsid w:val="002B7E7F"/>
    <w:rsid w:val="002C00A7"/>
    <w:rsid w:val="002C0B7D"/>
    <w:rsid w:val="002C16EE"/>
    <w:rsid w:val="002C2E66"/>
    <w:rsid w:val="002C3481"/>
    <w:rsid w:val="002C3922"/>
    <w:rsid w:val="002C6A71"/>
    <w:rsid w:val="002C6E69"/>
    <w:rsid w:val="002C74B2"/>
    <w:rsid w:val="002D0952"/>
    <w:rsid w:val="002D0992"/>
    <w:rsid w:val="002D149A"/>
    <w:rsid w:val="002D3254"/>
    <w:rsid w:val="002D3604"/>
    <w:rsid w:val="002D433A"/>
    <w:rsid w:val="002D6F10"/>
    <w:rsid w:val="002E0F88"/>
    <w:rsid w:val="002E2127"/>
    <w:rsid w:val="002E270E"/>
    <w:rsid w:val="002E294A"/>
    <w:rsid w:val="002E3639"/>
    <w:rsid w:val="002E3D9C"/>
    <w:rsid w:val="002E4702"/>
    <w:rsid w:val="002E4FB4"/>
    <w:rsid w:val="002E5924"/>
    <w:rsid w:val="002E67F0"/>
    <w:rsid w:val="002E6E1B"/>
    <w:rsid w:val="002E7B94"/>
    <w:rsid w:val="002F11E6"/>
    <w:rsid w:val="002F2463"/>
    <w:rsid w:val="002F25B6"/>
    <w:rsid w:val="002F3865"/>
    <w:rsid w:val="002F42B6"/>
    <w:rsid w:val="002F4B85"/>
    <w:rsid w:val="002F4C16"/>
    <w:rsid w:val="002F5EA2"/>
    <w:rsid w:val="002F615D"/>
    <w:rsid w:val="002F63A1"/>
    <w:rsid w:val="002F674C"/>
    <w:rsid w:val="002F675A"/>
    <w:rsid w:val="003004E2"/>
    <w:rsid w:val="00300C33"/>
    <w:rsid w:val="00300DFE"/>
    <w:rsid w:val="00302973"/>
    <w:rsid w:val="00302F32"/>
    <w:rsid w:val="003036C6"/>
    <w:rsid w:val="003037C8"/>
    <w:rsid w:val="00303B2E"/>
    <w:rsid w:val="0030411D"/>
    <w:rsid w:val="003045CF"/>
    <w:rsid w:val="0030501B"/>
    <w:rsid w:val="003053E6"/>
    <w:rsid w:val="003059BE"/>
    <w:rsid w:val="00307115"/>
    <w:rsid w:val="003074D5"/>
    <w:rsid w:val="00307D68"/>
    <w:rsid w:val="0031057B"/>
    <w:rsid w:val="003109BA"/>
    <w:rsid w:val="0031118E"/>
    <w:rsid w:val="00311276"/>
    <w:rsid w:val="00311879"/>
    <w:rsid w:val="00312CF5"/>
    <w:rsid w:val="0031301D"/>
    <w:rsid w:val="0031461F"/>
    <w:rsid w:val="00314872"/>
    <w:rsid w:val="00315993"/>
    <w:rsid w:val="003165B3"/>
    <w:rsid w:val="00316C25"/>
    <w:rsid w:val="003172E2"/>
    <w:rsid w:val="00317B9F"/>
    <w:rsid w:val="00317F7C"/>
    <w:rsid w:val="00320DBF"/>
    <w:rsid w:val="003221F3"/>
    <w:rsid w:val="00326F71"/>
    <w:rsid w:val="003270C5"/>
    <w:rsid w:val="00327669"/>
    <w:rsid w:val="00327A61"/>
    <w:rsid w:val="003317D1"/>
    <w:rsid w:val="00331A7F"/>
    <w:rsid w:val="00332B27"/>
    <w:rsid w:val="00332EA6"/>
    <w:rsid w:val="00334366"/>
    <w:rsid w:val="003343CF"/>
    <w:rsid w:val="00334B92"/>
    <w:rsid w:val="0033629D"/>
    <w:rsid w:val="00336F9B"/>
    <w:rsid w:val="00337C90"/>
    <w:rsid w:val="00337FB4"/>
    <w:rsid w:val="003410BE"/>
    <w:rsid w:val="003413AE"/>
    <w:rsid w:val="00341976"/>
    <w:rsid w:val="00341BAE"/>
    <w:rsid w:val="00343F32"/>
    <w:rsid w:val="00344C9A"/>
    <w:rsid w:val="00344F53"/>
    <w:rsid w:val="003452DE"/>
    <w:rsid w:val="003475BF"/>
    <w:rsid w:val="00350269"/>
    <w:rsid w:val="00352BD5"/>
    <w:rsid w:val="00352D27"/>
    <w:rsid w:val="0035372C"/>
    <w:rsid w:val="003544B6"/>
    <w:rsid w:val="00354848"/>
    <w:rsid w:val="00354FC8"/>
    <w:rsid w:val="0035504F"/>
    <w:rsid w:val="00355227"/>
    <w:rsid w:val="00355B4F"/>
    <w:rsid w:val="00355C51"/>
    <w:rsid w:val="0035604D"/>
    <w:rsid w:val="00356315"/>
    <w:rsid w:val="0035774F"/>
    <w:rsid w:val="003609DA"/>
    <w:rsid w:val="00360EDA"/>
    <w:rsid w:val="00361F74"/>
    <w:rsid w:val="00361FC0"/>
    <w:rsid w:val="00362F5B"/>
    <w:rsid w:val="003633CA"/>
    <w:rsid w:val="00363925"/>
    <w:rsid w:val="00364BFE"/>
    <w:rsid w:val="00364F27"/>
    <w:rsid w:val="00365A8E"/>
    <w:rsid w:val="0036723E"/>
    <w:rsid w:val="00367B62"/>
    <w:rsid w:val="00367F6D"/>
    <w:rsid w:val="003723DB"/>
    <w:rsid w:val="003723F8"/>
    <w:rsid w:val="00372AD0"/>
    <w:rsid w:val="00373AFC"/>
    <w:rsid w:val="003745E6"/>
    <w:rsid w:val="00375C5A"/>
    <w:rsid w:val="00376253"/>
    <w:rsid w:val="003777D2"/>
    <w:rsid w:val="0037787B"/>
    <w:rsid w:val="00377A26"/>
    <w:rsid w:val="003809D4"/>
    <w:rsid w:val="0038109A"/>
    <w:rsid w:val="00381343"/>
    <w:rsid w:val="00382924"/>
    <w:rsid w:val="00382A86"/>
    <w:rsid w:val="00384191"/>
    <w:rsid w:val="00384498"/>
    <w:rsid w:val="00385171"/>
    <w:rsid w:val="003851F0"/>
    <w:rsid w:val="003863A0"/>
    <w:rsid w:val="00387C81"/>
    <w:rsid w:val="0039004A"/>
    <w:rsid w:val="0039137D"/>
    <w:rsid w:val="0039179E"/>
    <w:rsid w:val="00391DB4"/>
    <w:rsid w:val="0039259C"/>
    <w:rsid w:val="00392ECF"/>
    <w:rsid w:val="00393874"/>
    <w:rsid w:val="00393930"/>
    <w:rsid w:val="0039396B"/>
    <w:rsid w:val="00393C3A"/>
    <w:rsid w:val="00394B6E"/>
    <w:rsid w:val="003956BB"/>
    <w:rsid w:val="00395DAB"/>
    <w:rsid w:val="00396428"/>
    <w:rsid w:val="0039777D"/>
    <w:rsid w:val="003A04EA"/>
    <w:rsid w:val="003A0A11"/>
    <w:rsid w:val="003A2A08"/>
    <w:rsid w:val="003A39A1"/>
    <w:rsid w:val="003A59B9"/>
    <w:rsid w:val="003A61FA"/>
    <w:rsid w:val="003A785D"/>
    <w:rsid w:val="003B0170"/>
    <w:rsid w:val="003B0A6E"/>
    <w:rsid w:val="003B0C6B"/>
    <w:rsid w:val="003B0E56"/>
    <w:rsid w:val="003B261B"/>
    <w:rsid w:val="003B292A"/>
    <w:rsid w:val="003B48BE"/>
    <w:rsid w:val="003B52CD"/>
    <w:rsid w:val="003B5EE0"/>
    <w:rsid w:val="003B6AA5"/>
    <w:rsid w:val="003B6BA8"/>
    <w:rsid w:val="003B6FF4"/>
    <w:rsid w:val="003C1513"/>
    <w:rsid w:val="003C16EA"/>
    <w:rsid w:val="003C19D5"/>
    <w:rsid w:val="003C1B25"/>
    <w:rsid w:val="003C3085"/>
    <w:rsid w:val="003C339F"/>
    <w:rsid w:val="003C3AFB"/>
    <w:rsid w:val="003C56BC"/>
    <w:rsid w:val="003C5D7C"/>
    <w:rsid w:val="003C633E"/>
    <w:rsid w:val="003C66A8"/>
    <w:rsid w:val="003C7C82"/>
    <w:rsid w:val="003D0207"/>
    <w:rsid w:val="003D0B26"/>
    <w:rsid w:val="003D0D26"/>
    <w:rsid w:val="003D1140"/>
    <w:rsid w:val="003D129A"/>
    <w:rsid w:val="003D138D"/>
    <w:rsid w:val="003D1792"/>
    <w:rsid w:val="003D288D"/>
    <w:rsid w:val="003D3462"/>
    <w:rsid w:val="003D3EB8"/>
    <w:rsid w:val="003D42E5"/>
    <w:rsid w:val="003D456B"/>
    <w:rsid w:val="003D4C14"/>
    <w:rsid w:val="003D5468"/>
    <w:rsid w:val="003D7577"/>
    <w:rsid w:val="003D7829"/>
    <w:rsid w:val="003D7C79"/>
    <w:rsid w:val="003E0664"/>
    <w:rsid w:val="003E08F6"/>
    <w:rsid w:val="003E0D3B"/>
    <w:rsid w:val="003E2737"/>
    <w:rsid w:val="003E48DE"/>
    <w:rsid w:val="003E4B60"/>
    <w:rsid w:val="003E5805"/>
    <w:rsid w:val="003E6ED5"/>
    <w:rsid w:val="003E76C6"/>
    <w:rsid w:val="003F1921"/>
    <w:rsid w:val="003F350C"/>
    <w:rsid w:val="003F3A0A"/>
    <w:rsid w:val="003F3D82"/>
    <w:rsid w:val="003F5FD3"/>
    <w:rsid w:val="003F65B4"/>
    <w:rsid w:val="003F68CB"/>
    <w:rsid w:val="003F696A"/>
    <w:rsid w:val="003F6C96"/>
    <w:rsid w:val="004006D2"/>
    <w:rsid w:val="004020AD"/>
    <w:rsid w:val="00402739"/>
    <w:rsid w:val="0040380E"/>
    <w:rsid w:val="0040643B"/>
    <w:rsid w:val="00406B47"/>
    <w:rsid w:val="00406CC5"/>
    <w:rsid w:val="00406D1F"/>
    <w:rsid w:val="00410E93"/>
    <w:rsid w:val="00410F05"/>
    <w:rsid w:val="00411C6B"/>
    <w:rsid w:val="004123DA"/>
    <w:rsid w:val="00413067"/>
    <w:rsid w:val="00413B77"/>
    <w:rsid w:val="00413CDE"/>
    <w:rsid w:val="00414C9E"/>
    <w:rsid w:val="00414F84"/>
    <w:rsid w:val="0041524A"/>
    <w:rsid w:val="004152AE"/>
    <w:rsid w:val="004161CE"/>
    <w:rsid w:val="00416D74"/>
    <w:rsid w:val="004177D2"/>
    <w:rsid w:val="00417FB9"/>
    <w:rsid w:val="004220DB"/>
    <w:rsid w:val="00424C6D"/>
    <w:rsid w:val="00424ED0"/>
    <w:rsid w:val="00425BEE"/>
    <w:rsid w:val="00426DF2"/>
    <w:rsid w:val="004272F1"/>
    <w:rsid w:val="0042766F"/>
    <w:rsid w:val="004277AE"/>
    <w:rsid w:val="0043013C"/>
    <w:rsid w:val="00430B05"/>
    <w:rsid w:val="00430EC3"/>
    <w:rsid w:val="004316FB"/>
    <w:rsid w:val="00431BE9"/>
    <w:rsid w:val="0043227D"/>
    <w:rsid w:val="00432772"/>
    <w:rsid w:val="00432B71"/>
    <w:rsid w:val="00432C5A"/>
    <w:rsid w:val="004339F9"/>
    <w:rsid w:val="004341F0"/>
    <w:rsid w:val="00436980"/>
    <w:rsid w:val="004424B7"/>
    <w:rsid w:val="00442859"/>
    <w:rsid w:val="00442DBB"/>
    <w:rsid w:val="00442ED1"/>
    <w:rsid w:val="00443CA1"/>
    <w:rsid w:val="00443E7E"/>
    <w:rsid w:val="004454A4"/>
    <w:rsid w:val="00445AE7"/>
    <w:rsid w:val="004471C3"/>
    <w:rsid w:val="00447C93"/>
    <w:rsid w:val="00447F10"/>
    <w:rsid w:val="004518A5"/>
    <w:rsid w:val="00451B5E"/>
    <w:rsid w:val="004525ED"/>
    <w:rsid w:val="00453107"/>
    <w:rsid w:val="00453DFB"/>
    <w:rsid w:val="00455059"/>
    <w:rsid w:val="00456982"/>
    <w:rsid w:val="004572F2"/>
    <w:rsid w:val="00457B7B"/>
    <w:rsid w:val="00461221"/>
    <w:rsid w:val="00461638"/>
    <w:rsid w:val="00461A3E"/>
    <w:rsid w:val="00461DAE"/>
    <w:rsid w:val="00462163"/>
    <w:rsid w:val="00462B4A"/>
    <w:rsid w:val="004646EA"/>
    <w:rsid w:val="00464AD2"/>
    <w:rsid w:val="004663DD"/>
    <w:rsid w:val="00467AEC"/>
    <w:rsid w:val="00467CF6"/>
    <w:rsid w:val="00470104"/>
    <w:rsid w:val="00470F4C"/>
    <w:rsid w:val="0047240A"/>
    <w:rsid w:val="0047257C"/>
    <w:rsid w:val="00473C3B"/>
    <w:rsid w:val="00474D2B"/>
    <w:rsid w:val="00475AD8"/>
    <w:rsid w:val="0047619E"/>
    <w:rsid w:val="00482AEF"/>
    <w:rsid w:val="00482B75"/>
    <w:rsid w:val="00482BCA"/>
    <w:rsid w:val="00485073"/>
    <w:rsid w:val="00485323"/>
    <w:rsid w:val="00485614"/>
    <w:rsid w:val="00486C6C"/>
    <w:rsid w:val="00486F72"/>
    <w:rsid w:val="00486F89"/>
    <w:rsid w:val="0048719D"/>
    <w:rsid w:val="004877FE"/>
    <w:rsid w:val="00487845"/>
    <w:rsid w:val="00490069"/>
    <w:rsid w:val="00490605"/>
    <w:rsid w:val="0049088D"/>
    <w:rsid w:val="0049132A"/>
    <w:rsid w:val="00491CF1"/>
    <w:rsid w:val="004924A1"/>
    <w:rsid w:val="00492E5B"/>
    <w:rsid w:val="00493A05"/>
    <w:rsid w:val="00493BD4"/>
    <w:rsid w:val="004941AA"/>
    <w:rsid w:val="004949E6"/>
    <w:rsid w:val="0049586E"/>
    <w:rsid w:val="00495ECF"/>
    <w:rsid w:val="004966A8"/>
    <w:rsid w:val="00497BDD"/>
    <w:rsid w:val="004A01A5"/>
    <w:rsid w:val="004A07D8"/>
    <w:rsid w:val="004A093C"/>
    <w:rsid w:val="004A0F21"/>
    <w:rsid w:val="004A11B7"/>
    <w:rsid w:val="004A15E4"/>
    <w:rsid w:val="004A1BDC"/>
    <w:rsid w:val="004A24F9"/>
    <w:rsid w:val="004A2BE3"/>
    <w:rsid w:val="004A311B"/>
    <w:rsid w:val="004A383D"/>
    <w:rsid w:val="004A394F"/>
    <w:rsid w:val="004A5820"/>
    <w:rsid w:val="004A6465"/>
    <w:rsid w:val="004A6E82"/>
    <w:rsid w:val="004A7826"/>
    <w:rsid w:val="004A7E5D"/>
    <w:rsid w:val="004B0A1C"/>
    <w:rsid w:val="004B14B1"/>
    <w:rsid w:val="004B158C"/>
    <w:rsid w:val="004B2CE0"/>
    <w:rsid w:val="004B2E31"/>
    <w:rsid w:val="004B391C"/>
    <w:rsid w:val="004B48E2"/>
    <w:rsid w:val="004B5A73"/>
    <w:rsid w:val="004B63AE"/>
    <w:rsid w:val="004B6437"/>
    <w:rsid w:val="004B646E"/>
    <w:rsid w:val="004B670A"/>
    <w:rsid w:val="004B6AD7"/>
    <w:rsid w:val="004B71D4"/>
    <w:rsid w:val="004B7275"/>
    <w:rsid w:val="004B7CB5"/>
    <w:rsid w:val="004B7D72"/>
    <w:rsid w:val="004C00A3"/>
    <w:rsid w:val="004C0A14"/>
    <w:rsid w:val="004C0ACF"/>
    <w:rsid w:val="004C0C11"/>
    <w:rsid w:val="004C119C"/>
    <w:rsid w:val="004C1611"/>
    <w:rsid w:val="004C1A5D"/>
    <w:rsid w:val="004C1ACA"/>
    <w:rsid w:val="004C1F1C"/>
    <w:rsid w:val="004C2DCD"/>
    <w:rsid w:val="004C322E"/>
    <w:rsid w:val="004C3272"/>
    <w:rsid w:val="004C33A6"/>
    <w:rsid w:val="004C41F9"/>
    <w:rsid w:val="004C5A98"/>
    <w:rsid w:val="004C6778"/>
    <w:rsid w:val="004C69B1"/>
    <w:rsid w:val="004C7ADB"/>
    <w:rsid w:val="004D1337"/>
    <w:rsid w:val="004D1578"/>
    <w:rsid w:val="004D3073"/>
    <w:rsid w:val="004D3313"/>
    <w:rsid w:val="004D4B66"/>
    <w:rsid w:val="004D5207"/>
    <w:rsid w:val="004D5E6E"/>
    <w:rsid w:val="004D7286"/>
    <w:rsid w:val="004D784E"/>
    <w:rsid w:val="004E0476"/>
    <w:rsid w:val="004E0C76"/>
    <w:rsid w:val="004E1404"/>
    <w:rsid w:val="004E202C"/>
    <w:rsid w:val="004E3084"/>
    <w:rsid w:val="004E615A"/>
    <w:rsid w:val="004E7126"/>
    <w:rsid w:val="004E73F0"/>
    <w:rsid w:val="004E7700"/>
    <w:rsid w:val="004F06F0"/>
    <w:rsid w:val="004F0E83"/>
    <w:rsid w:val="004F177A"/>
    <w:rsid w:val="004F3357"/>
    <w:rsid w:val="004F443B"/>
    <w:rsid w:val="004F5787"/>
    <w:rsid w:val="004F6A6C"/>
    <w:rsid w:val="004F6B1A"/>
    <w:rsid w:val="004F790F"/>
    <w:rsid w:val="004F7DE9"/>
    <w:rsid w:val="0050011E"/>
    <w:rsid w:val="0050053B"/>
    <w:rsid w:val="00500D86"/>
    <w:rsid w:val="00503DD4"/>
    <w:rsid w:val="00503F8C"/>
    <w:rsid w:val="00504562"/>
    <w:rsid w:val="00504A9C"/>
    <w:rsid w:val="005059C3"/>
    <w:rsid w:val="005065B6"/>
    <w:rsid w:val="00506C1A"/>
    <w:rsid w:val="00510165"/>
    <w:rsid w:val="00510A6E"/>
    <w:rsid w:val="0051137F"/>
    <w:rsid w:val="005127CC"/>
    <w:rsid w:val="005138F0"/>
    <w:rsid w:val="005138FA"/>
    <w:rsid w:val="00513989"/>
    <w:rsid w:val="0051400D"/>
    <w:rsid w:val="005153AB"/>
    <w:rsid w:val="005154A1"/>
    <w:rsid w:val="005154E7"/>
    <w:rsid w:val="00515A1E"/>
    <w:rsid w:val="00516351"/>
    <w:rsid w:val="0051651A"/>
    <w:rsid w:val="0052033D"/>
    <w:rsid w:val="00520933"/>
    <w:rsid w:val="00520B2C"/>
    <w:rsid w:val="00522A3A"/>
    <w:rsid w:val="00524309"/>
    <w:rsid w:val="00524BA7"/>
    <w:rsid w:val="00524EB2"/>
    <w:rsid w:val="005251BB"/>
    <w:rsid w:val="00525F05"/>
    <w:rsid w:val="00526893"/>
    <w:rsid w:val="0052721B"/>
    <w:rsid w:val="00527AA9"/>
    <w:rsid w:val="0053086C"/>
    <w:rsid w:val="00531307"/>
    <w:rsid w:val="00531553"/>
    <w:rsid w:val="0053156E"/>
    <w:rsid w:val="00531EC8"/>
    <w:rsid w:val="0053311B"/>
    <w:rsid w:val="0053334E"/>
    <w:rsid w:val="0053382A"/>
    <w:rsid w:val="005342FE"/>
    <w:rsid w:val="00534B80"/>
    <w:rsid w:val="00534C70"/>
    <w:rsid w:val="00535AC3"/>
    <w:rsid w:val="00536471"/>
    <w:rsid w:val="00537D1D"/>
    <w:rsid w:val="00540CC8"/>
    <w:rsid w:val="0054127C"/>
    <w:rsid w:val="00544296"/>
    <w:rsid w:val="00545A61"/>
    <w:rsid w:val="00545CB0"/>
    <w:rsid w:val="005466C3"/>
    <w:rsid w:val="0054691E"/>
    <w:rsid w:val="00546D84"/>
    <w:rsid w:val="005470D3"/>
    <w:rsid w:val="00550997"/>
    <w:rsid w:val="00552570"/>
    <w:rsid w:val="00552DBF"/>
    <w:rsid w:val="005537C3"/>
    <w:rsid w:val="00553945"/>
    <w:rsid w:val="00554888"/>
    <w:rsid w:val="005549A6"/>
    <w:rsid w:val="0055517C"/>
    <w:rsid w:val="0055552E"/>
    <w:rsid w:val="0055610A"/>
    <w:rsid w:val="00557535"/>
    <w:rsid w:val="00560059"/>
    <w:rsid w:val="0056022A"/>
    <w:rsid w:val="005607FE"/>
    <w:rsid w:val="00561BB0"/>
    <w:rsid w:val="005620A2"/>
    <w:rsid w:val="00562583"/>
    <w:rsid w:val="0056421E"/>
    <w:rsid w:val="00564683"/>
    <w:rsid w:val="00564C03"/>
    <w:rsid w:val="00564C09"/>
    <w:rsid w:val="005655AD"/>
    <w:rsid w:val="00566581"/>
    <w:rsid w:val="00566B7B"/>
    <w:rsid w:val="005670EB"/>
    <w:rsid w:val="005674B4"/>
    <w:rsid w:val="005707A9"/>
    <w:rsid w:val="00570F42"/>
    <w:rsid w:val="0057127C"/>
    <w:rsid w:val="00571703"/>
    <w:rsid w:val="00572153"/>
    <w:rsid w:val="0057395E"/>
    <w:rsid w:val="00573A84"/>
    <w:rsid w:val="00574AAB"/>
    <w:rsid w:val="005761DD"/>
    <w:rsid w:val="005761E0"/>
    <w:rsid w:val="00576364"/>
    <w:rsid w:val="00576B02"/>
    <w:rsid w:val="00576E64"/>
    <w:rsid w:val="00580C9F"/>
    <w:rsid w:val="005819AB"/>
    <w:rsid w:val="00581D72"/>
    <w:rsid w:val="00582D8D"/>
    <w:rsid w:val="00583213"/>
    <w:rsid w:val="005839A8"/>
    <w:rsid w:val="00585D9C"/>
    <w:rsid w:val="005863BB"/>
    <w:rsid w:val="00586BC3"/>
    <w:rsid w:val="00590290"/>
    <w:rsid w:val="00590493"/>
    <w:rsid w:val="00590878"/>
    <w:rsid w:val="00590ED7"/>
    <w:rsid w:val="00593DE3"/>
    <w:rsid w:val="00593E75"/>
    <w:rsid w:val="0059559F"/>
    <w:rsid w:val="0059614C"/>
    <w:rsid w:val="005965CA"/>
    <w:rsid w:val="00597603"/>
    <w:rsid w:val="005A0130"/>
    <w:rsid w:val="005A0F84"/>
    <w:rsid w:val="005A1BC9"/>
    <w:rsid w:val="005A1C21"/>
    <w:rsid w:val="005A1ECC"/>
    <w:rsid w:val="005A2239"/>
    <w:rsid w:val="005A308E"/>
    <w:rsid w:val="005A39A5"/>
    <w:rsid w:val="005A44C5"/>
    <w:rsid w:val="005A5594"/>
    <w:rsid w:val="005A5A52"/>
    <w:rsid w:val="005A5AF2"/>
    <w:rsid w:val="005A5C2D"/>
    <w:rsid w:val="005A607C"/>
    <w:rsid w:val="005A762D"/>
    <w:rsid w:val="005A774F"/>
    <w:rsid w:val="005B1B58"/>
    <w:rsid w:val="005B2039"/>
    <w:rsid w:val="005B2B25"/>
    <w:rsid w:val="005B2D85"/>
    <w:rsid w:val="005B3ECE"/>
    <w:rsid w:val="005B4848"/>
    <w:rsid w:val="005B53F6"/>
    <w:rsid w:val="005B5760"/>
    <w:rsid w:val="005B691E"/>
    <w:rsid w:val="005B7664"/>
    <w:rsid w:val="005C259B"/>
    <w:rsid w:val="005C2787"/>
    <w:rsid w:val="005C2FA5"/>
    <w:rsid w:val="005C33ED"/>
    <w:rsid w:val="005C5701"/>
    <w:rsid w:val="005C6990"/>
    <w:rsid w:val="005C7BB7"/>
    <w:rsid w:val="005D037C"/>
    <w:rsid w:val="005D1E87"/>
    <w:rsid w:val="005D2889"/>
    <w:rsid w:val="005D2A69"/>
    <w:rsid w:val="005D2DC6"/>
    <w:rsid w:val="005D34AA"/>
    <w:rsid w:val="005D37AB"/>
    <w:rsid w:val="005D48E8"/>
    <w:rsid w:val="005D4BDC"/>
    <w:rsid w:val="005D57B3"/>
    <w:rsid w:val="005D5CE3"/>
    <w:rsid w:val="005D7BD6"/>
    <w:rsid w:val="005E1AC9"/>
    <w:rsid w:val="005E37DB"/>
    <w:rsid w:val="005E406D"/>
    <w:rsid w:val="005E40A8"/>
    <w:rsid w:val="005E4D9C"/>
    <w:rsid w:val="005E4FA4"/>
    <w:rsid w:val="005E5D4C"/>
    <w:rsid w:val="005E6111"/>
    <w:rsid w:val="005E646A"/>
    <w:rsid w:val="005E7249"/>
    <w:rsid w:val="005E74E0"/>
    <w:rsid w:val="005E7530"/>
    <w:rsid w:val="005E77C9"/>
    <w:rsid w:val="005F02EB"/>
    <w:rsid w:val="005F0C28"/>
    <w:rsid w:val="005F17E8"/>
    <w:rsid w:val="005F182D"/>
    <w:rsid w:val="005F3CAC"/>
    <w:rsid w:val="005F4B2F"/>
    <w:rsid w:val="005F529D"/>
    <w:rsid w:val="005F613B"/>
    <w:rsid w:val="005F61E6"/>
    <w:rsid w:val="005F655D"/>
    <w:rsid w:val="005F6859"/>
    <w:rsid w:val="005F6F52"/>
    <w:rsid w:val="005F79B2"/>
    <w:rsid w:val="005F7C0A"/>
    <w:rsid w:val="006009AC"/>
    <w:rsid w:val="00600A03"/>
    <w:rsid w:val="00600A16"/>
    <w:rsid w:val="00600A3B"/>
    <w:rsid w:val="0060303B"/>
    <w:rsid w:val="006033C4"/>
    <w:rsid w:val="00604986"/>
    <w:rsid w:val="00607343"/>
    <w:rsid w:val="00607356"/>
    <w:rsid w:val="0060760E"/>
    <w:rsid w:val="00607D07"/>
    <w:rsid w:val="006112CB"/>
    <w:rsid w:val="006129DA"/>
    <w:rsid w:val="00612CE9"/>
    <w:rsid w:val="00614A03"/>
    <w:rsid w:val="00614A7D"/>
    <w:rsid w:val="00614CF8"/>
    <w:rsid w:val="00614D0D"/>
    <w:rsid w:val="00614D25"/>
    <w:rsid w:val="00614ED5"/>
    <w:rsid w:val="00615989"/>
    <w:rsid w:val="0061611E"/>
    <w:rsid w:val="00616670"/>
    <w:rsid w:val="006167C0"/>
    <w:rsid w:val="00620FB8"/>
    <w:rsid w:val="00620FBA"/>
    <w:rsid w:val="0062130B"/>
    <w:rsid w:val="006241CB"/>
    <w:rsid w:val="006254E5"/>
    <w:rsid w:val="00625680"/>
    <w:rsid w:val="0062584D"/>
    <w:rsid w:val="006261B1"/>
    <w:rsid w:val="0062663B"/>
    <w:rsid w:val="00626979"/>
    <w:rsid w:val="0062737F"/>
    <w:rsid w:val="006273D3"/>
    <w:rsid w:val="00630ED2"/>
    <w:rsid w:val="00631087"/>
    <w:rsid w:val="006312E4"/>
    <w:rsid w:val="00632B27"/>
    <w:rsid w:val="00632C26"/>
    <w:rsid w:val="00633595"/>
    <w:rsid w:val="00634373"/>
    <w:rsid w:val="00634555"/>
    <w:rsid w:val="0063455F"/>
    <w:rsid w:val="0063477A"/>
    <w:rsid w:val="00634D45"/>
    <w:rsid w:val="00634E0F"/>
    <w:rsid w:val="00635440"/>
    <w:rsid w:val="0063562D"/>
    <w:rsid w:val="00635797"/>
    <w:rsid w:val="0063643D"/>
    <w:rsid w:val="006364A9"/>
    <w:rsid w:val="00636651"/>
    <w:rsid w:val="00637EBE"/>
    <w:rsid w:val="00640326"/>
    <w:rsid w:val="00640927"/>
    <w:rsid w:val="00640B10"/>
    <w:rsid w:val="00641867"/>
    <w:rsid w:val="00642EC1"/>
    <w:rsid w:val="006446E8"/>
    <w:rsid w:val="00645520"/>
    <w:rsid w:val="00645CEE"/>
    <w:rsid w:val="00646331"/>
    <w:rsid w:val="00647BED"/>
    <w:rsid w:val="006505D0"/>
    <w:rsid w:val="00651232"/>
    <w:rsid w:val="0065166C"/>
    <w:rsid w:val="00651AF1"/>
    <w:rsid w:val="00651C74"/>
    <w:rsid w:val="00651CB8"/>
    <w:rsid w:val="00654281"/>
    <w:rsid w:val="00654D8F"/>
    <w:rsid w:val="006550B5"/>
    <w:rsid w:val="006552EB"/>
    <w:rsid w:val="00655A48"/>
    <w:rsid w:val="00655E05"/>
    <w:rsid w:val="00656233"/>
    <w:rsid w:val="00656666"/>
    <w:rsid w:val="00656FA9"/>
    <w:rsid w:val="0065755A"/>
    <w:rsid w:val="00657752"/>
    <w:rsid w:val="00657A5D"/>
    <w:rsid w:val="00661224"/>
    <w:rsid w:val="00661ADB"/>
    <w:rsid w:val="00662128"/>
    <w:rsid w:val="0066269C"/>
    <w:rsid w:val="0066289E"/>
    <w:rsid w:val="00662C06"/>
    <w:rsid w:val="006635B1"/>
    <w:rsid w:val="00664BA4"/>
    <w:rsid w:val="00664BC0"/>
    <w:rsid w:val="00664BD6"/>
    <w:rsid w:val="0066529B"/>
    <w:rsid w:val="00665CC9"/>
    <w:rsid w:val="00665DA4"/>
    <w:rsid w:val="00666835"/>
    <w:rsid w:val="00666881"/>
    <w:rsid w:val="00667407"/>
    <w:rsid w:val="00667A77"/>
    <w:rsid w:val="006700D9"/>
    <w:rsid w:val="00670A43"/>
    <w:rsid w:val="006711A6"/>
    <w:rsid w:val="00671A5A"/>
    <w:rsid w:val="0067202F"/>
    <w:rsid w:val="006726F5"/>
    <w:rsid w:val="00672875"/>
    <w:rsid w:val="00672967"/>
    <w:rsid w:val="00672C17"/>
    <w:rsid w:val="00673EA5"/>
    <w:rsid w:val="006749CF"/>
    <w:rsid w:val="00674C25"/>
    <w:rsid w:val="00674EE9"/>
    <w:rsid w:val="006750D9"/>
    <w:rsid w:val="00675581"/>
    <w:rsid w:val="006759EC"/>
    <w:rsid w:val="0067662A"/>
    <w:rsid w:val="0067671B"/>
    <w:rsid w:val="006767E9"/>
    <w:rsid w:val="00677873"/>
    <w:rsid w:val="00677CF6"/>
    <w:rsid w:val="00681350"/>
    <w:rsid w:val="006819DC"/>
    <w:rsid w:val="00681A16"/>
    <w:rsid w:val="00681BAC"/>
    <w:rsid w:val="00682E78"/>
    <w:rsid w:val="0068357E"/>
    <w:rsid w:val="006838E1"/>
    <w:rsid w:val="00683BA0"/>
    <w:rsid w:val="00683F52"/>
    <w:rsid w:val="0068404A"/>
    <w:rsid w:val="00685C28"/>
    <w:rsid w:val="006865E4"/>
    <w:rsid w:val="0068665A"/>
    <w:rsid w:val="00686EB8"/>
    <w:rsid w:val="00687BBF"/>
    <w:rsid w:val="0069109F"/>
    <w:rsid w:val="00691EC3"/>
    <w:rsid w:val="00692B6D"/>
    <w:rsid w:val="00693124"/>
    <w:rsid w:val="0069319D"/>
    <w:rsid w:val="006935AB"/>
    <w:rsid w:val="0069369B"/>
    <w:rsid w:val="006936D1"/>
    <w:rsid w:val="00693F7B"/>
    <w:rsid w:val="00694912"/>
    <w:rsid w:val="0069584C"/>
    <w:rsid w:val="00695929"/>
    <w:rsid w:val="0069651F"/>
    <w:rsid w:val="006A0844"/>
    <w:rsid w:val="006A0D21"/>
    <w:rsid w:val="006A0EDC"/>
    <w:rsid w:val="006A2652"/>
    <w:rsid w:val="006A2B30"/>
    <w:rsid w:val="006A4287"/>
    <w:rsid w:val="006A52D1"/>
    <w:rsid w:val="006A543D"/>
    <w:rsid w:val="006A54E4"/>
    <w:rsid w:val="006A5E17"/>
    <w:rsid w:val="006A6273"/>
    <w:rsid w:val="006A6662"/>
    <w:rsid w:val="006A690F"/>
    <w:rsid w:val="006A71E2"/>
    <w:rsid w:val="006A78AF"/>
    <w:rsid w:val="006B0BF6"/>
    <w:rsid w:val="006B1478"/>
    <w:rsid w:val="006B1B4F"/>
    <w:rsid w:val="006B289E"/>
    <w:rsid w:val="006B28A4"/>
    <w:rsid w:val="006B4247"/>
    <w:rsid w:val="006B425B"/>
    <w:rsid w:val="006B465C"/>
    <w:rsid w:val="006B5258"/>
    <w:rsid w:val="006B6146"/>
    <w:rsid w:val="006C0310"/>
    <w:rsid w:val="006C14A5"/>
    <w:rsid w:val="006C4C3A"/>
    <w:rsid w:val="006C4DC8"/>
    <w:rsid w:val="006C4F46"/>
    <w:rsid w:val="006C553A"/>
    <w:rsid w:val="006C6B4D"/>
    <w:rsid w:val="006C7E59"/>
    <w:rsid w:val="006D04A7"/>
    <w:rsid w:val="006D17A8"/>
    <w:rsid w:val="006D2A82"/>
    <w:rsid w:val="006D3249"/>
    <w:rsid w:val="006D3C00"/>
    <w:rsid w:val="006D4046"/>
    <w:rsid w:val="006D4135"/>
    <w:rsid w:val="006D4900"/>
    <w:rsid w:val="006D4B6B"/>
    <w:rsid w:val="006D6C75"/>
    <w:rsid w:val="006E0DB3"/>
    <w:rsid w:val="006E1B8E"/>
    <w:rsid w:val="006E25B7"/>
    <w:rsid w:val="006E29BA"/>
    <w:rsid w:val="006E2B69"/>
    <w:rsid w:val="006E3CB6"/>
    <w:rsid w:val="006E477E"/>
    <w:rsid w:val="006E4D03"/>
    <w:rsid w:val="006E51AF"/>
    <w:rsid w:val="006E553C"/>
    <w:rsid w:val="006E641A"/>
    <w:rsid w:val="006E7143"/>
    <w:rsid w:val="006E79BA"/>
    <w:rsid w:val="006F12D3"/>
    <w:rsid w:val="006F177A"/>
    <w:rsid w:val="006F2412"/>
    <w:rsid w:val="006F2956"/>
    <w:rsid w:val="006F42B3"/>
    <w:rsid w:val="006F4C8C"/>
    <w:rsid w:val="006F4F90"/>
    <w:rsid w:val="006F764F"/>
    <w:rsid w:val="006F77AE"/>
    <w:rsid w:val="006F7A0B"/>
    <w:rsid w:val="006F7F6A"/>
    <w:rsid w:val="00700015"/>
    <w:rsid w:val="0070025E"/>
    <w:rsid w:val="00700686"/>
    <w:rsid w:val="007006B6"/>
    <w:rsid w:val="007006F1"/>
    <w:rsid w:val="007014AD"/>
    <w:rsid w:val="00701693"/>
    <w:rsid w:val="0070272A"/>
    <w:rsid w:val="00703637"/>
    <w:rsid w:val="00703B44"/>
    <w:rsid w:val="00703C11"/>
    <w:rsid w:val="00703E65"/>
    <w:rsid w:val="007047D4"/>
    <w:rsid w:val="00704B69"/>
    <w:rsid w:val="007054E9"/>
    <w:rsid w:val="007054F1"/>
    <w:rsid w:val="00706021"/>
    <w:rsid w:val="00706670"/>
    <w:rsid w:val="00706CC0"/>
    <w:rsid w:val="0070740C"/>
    <w:rsid w:val="0070747C"/>
    <w:rsid w:val="00707631"/>
    <w:rsid w:val="007076DE"/>
    <w:rsid w:val="007079D8"/>
    <w:rsid w:val="00711C9D"/>
    <w:rsid w:val="00712748"/>
    <w:rsid w:val="0071429F"/>
    <w:rsid w:val="00714402"/>
    <w:rsid w:val="00714580"/>
    <w:rsid w:val="00715C61"/>
    <w:rsid w:val="00717D22"/>
    <w:rsid w:val="00720C08"/>
    <w:rsid w:val="00720C2B"/>
    <w:rsid w:val="00721D15"/>
    <w:rsid w:val="00722E5F"/>
    <w:rsid w:val="00722F99"/>
    <w:rsid w:val="0072340D"/>
    <w:rsid w:val="007236C9"/>
    <w:rsid w:val="0072408A"/>
    <w:rsid w:val="00724E2A"/>
    <w:rsid w:val="0072532F"/>
    <w:rsid w:val="007261E7"/>
    <w:rsid w:val="007266C3"/>
    <w:rsid w:val="00726797"/>
    <w:rsid w:val="00731520"/>
    <w:rsid w:val="00732B43"/>
    <w:rsid w:val="007331C0"/>
    <w:rsid w:val="0073330A"/>
    <w:rsid w:val="0073417B"/>
    <w:rsid w:val="00734818"/>
    <w:rsid w:val="00734EF3"/>
    <w:rsid w:val="007370E0"/>
    <w:rsid w:val="0073770F"/>
    <w:rsid w:val="0074016E"/>
    <w:rsid w:val="00740441"/>
    <w:rsid w:val="00741C41"/>
    <w:rsid w:val="00742347"/>
    <w:rsid w:val="00742414"/>
    <w:rsid w:val="007427A0"/>
    <w:rsid w:val="00743555"/>
    <w:rsid w:val="00743E36"/>
    <w:rsid w:val="00744433"/>
    <w:rsid w:val="00745AD4"/>
    <w:rsid w:val="007465DB"/>
    <w:rsid w:val="00746B34"/>
    <w:rsid w:val="00746C99"/>
    <w:rsid w:val="00747616"/>
    <w:rsid w:val="00747CAE"/>
    <w:rsid w:val="00747E5F"/>
    <w:rsid w:val="00747EBE"/>
    <w:rsid w:val="00750DC1"/>
    <w:rsid w:val="007512EF"/>
    <w:rsid w:val="0075217D"/>
    <w:rsid w:val="00752E16"/>
    <w:rsid w:val="00754257"/>
    <w:rsid w:val="007542BA"/>
    <w:rsid w:val="00754E6E"/>
    <w:rsid w:val="007551D0"/>
    <w:rsid w:val="00755D82"/>
    <w:rsid w:val="00755E2A"/>
    <w:rsid w:val="00756374"/>
    <w:rsid w:val="0076062C"/>
    <w:rsid w:val="00760855"/>
    <w:rsid w:val="00760FA9"/>
    <w:rsid w:val="0076119C"/>
    <w:rsid w:val="00761F0A"/>
    <w:rsid w:val="007621AC"/>
    <w:rsid w:val="00762A08"/>
    <w:rsid w:val="00762A7F"/>
    <w:rsid w:val="0076393F"/>
    <w:rsid w:val="00763B83"/>
    <w:rsid w:val="00763DDD"/>
    <w:rsid w:val="0076415D"/>
    <w:rsid w:val="007646C4"/>
    <w:rsid w:val="00764CB9"/>
    <w:rsid w:val="00765785"/>
    <w:rsid w:val="00765849"/>
    <w:rsid w:val="00766357"/>
    <w:rsid w:val="00766383"/>
    <w:rsid w:val="0076676A"/>
    <w:rsid w:val="00770008"/>
    <w:rsid w:val="00770FC1"/>
    <w:rsid w:val="00772349"/>
    <w:rsid w:val="00772B62"/>
    <w:rsid w:val="00773AC1"/>
    <w:rsid w:val="00773F0D"/>
    <w:rsid w:val="00773F85"/>
    <w:rsid w:val="00774419"/>
    <w:rsid w:val="00776116"/>
    <w:rsid w:val="0077631C"/>
    <w:rsid w:val="00780EFB"/>
    <w:rsid w:val="00782372"/>
    <w:rsid w:val="00782CD3"/>
    <w:rsid w:val="007830FA"/>
    <w:rsid w:val="00784366"/>
    <w:rsid w:val="00784525"/>
    <w:rsid w:val="00784C8F"/>
    <w:rsid w:val="00784EA0"/>
    <w:rsid w:val="00784FA4"/>
    <w:rsid w:val="00785692"/>
    <w:rsid w:val="00787DF8"/>
    <w:rsid w:val="007912BC"/>
    <w:rsid w:val="00791CDE"/>
    <w:rsid w:val="007923F0"/>
    <w:rsid w:val="0079266E"/>
    <w:rsid w:val="0079534D"/>
    <w:rsid w:val="00795FFF"/>
    <w:rsid w:val="0079668B"/>
    <w:rsid w:val="00797519"/>
    <w:rsid w:val="007A1C27"/>
    <w:rsid w:val="007A243A"/>
    <w:rsid w:val="007A2761"/>
    <w:rsid w:val="007A3160"/>
    <w:rsid w:val="007A3330"/>
    <w:rsid w:val="007A3F97"/>
    <w:rsid w:val="007A4030"/>
    <w:rsid w:val="007A44B3"/>
    <w:rsid w:val="007A55FA"/>
    <w:rsid w:val="007A5CC2"/>
    <w:rsid w:val="007A6073"/>
    <w:rsid w:val="007A6322"/>
    <w:rsid w:val="007A6EA0"/>
    <w:rsid w:val="007A7DE3"/>
    <w:rsid w:val="007B0687"/>
    <w:rsid w:val="007B088B"/>
    <w:rsid w:val="007B0C8D"/>
    <w:rsid w:val="007B15CB"/>
    <w:rsid w:val="007B2DD1"/>
    <w:rsid w:val="007B34F4"/>
    <w:rsid w:val="007B4A1B"/>
    <w:rsid w:val="007B4BF5"/>
    <w:rsid w:val="007B4FAD"/>
    <w:rsid w:val="007B57A8"/>
    <w:rsid w:val="007B57D9"/>
    <w:rsid w:val="007B66CD"/>
    <w:rsid w:val="007B6ACC"/>
    <w:rsid w:val="007B6B32"/>
    <w:rsid w:val="007B7191"/>
    <w:rsid w:val="007B7A6E"/>
    <w:rsid w:val="007C09A3"/>
    <w:rsid w:val="007C0CA3"/>
    <w:rsid w:val="007C10EE"/>
    <w:rsid w:val="007C26EB"/>
    <w:rsid w:val="007C2BF7"/>
    <w:rsid w:val="007C3E6E"/>
    <w:rsid w:val="007C55CA"/>
    <w:rsid w:val="007C6967"/>
    <w:rsid w:val="007C6D94"/>
    <w:rsid w:val="007C6DCA"/>
    <w:rsid w:val="007C7A76"/>
    <w:rsid w:val="007D0C7D"/>
    <w:rsid w:val="007D1F10"/>
    <w:rsid w:val="007D41BE"/>
    <w:rsid w:val="007D447B"/>
    <w:rsid w:val="007D4D64"/>
    <w:rsid w:val="007D5D05"/>
    <w:rsid w:val="007D5F29"/>
    <w:rsid w:val="007D609A"/>
    <w:rsid w:val="007D7469"/>
    <w:rsid w:val="007D7511"/>
    <w:rsid w:val="007D77DD"/>
    <w:rsid w:val="007D792A"/>
    <w:rsid w:val="007E0DC6"/>
    <w:rsid w:val="007E1FCA"/>
    <w:rsid w:val="007E25B8"/>
    <w:rsid w:val="007E2ED7"/>
    <w:rsid w:val="007E4ACA"/>
    <w:rsid w:val="007E5664"/>
    <w:rsid w:val="007E5DB9"/>
    <w:rsid w:val="007E615F"/>
    <w:rsid w:val="007F06C2"/>
    <w:rsid w:val="007F07C1"/>
    <w:rsid w:val="007F105B"/>
    <w:rsid w:val="007F1D39"/>
    <w:rsid w:val="007F237B"/>
    <w:rsid w:val="007F2866"/>
    <w:rsid w:val="007F286F"/>
    <w:rsid w:val="007F2FA4"/>
    <w:rsid w:val="007F320A"/>
    <w:rsid w:val="007F3227"/>
    <w:rsid w:val="007F32AC"/>
    <w:rsid w:val="007F36DF"/>
    <w:rsid w:val="007F3B96"/>
    <w:rsid w:val="007F42C8"/>
    <w:rsid w:val="007F5EDD"/>
    <w:rsid w:val="007F7FDF"/>
    <w:rsid w:val="00800335"/>
    <w:rsid w:val="008003E4"/>
    <w:rsid w:val="008003FF"/>
    <w:rsid w:val="00801676"/>
    <w:rsid w:val="008017F0"/>
    <w:rsid w:val="00801A46"/>
    <w:rsid w:val="00801CA8"/>
    <w:rsid w:val="00801CEC"/>
    <w:rsid w:val="00801F0D"/>
    <w:rsid w:val="0080251B"/>
    <w:rsid w:val="00802878"/>
    <w:rsid w:val="0080293F"/>
    <w:rsid w:val="00802ECC"/>
    <w:rsid w:val="00802ED9"/>
    <w:rsid w:val="0080326A"/>
    <w:rsid w:val="008037C2"/>
    <w:rsid w:val="008037F9"/>
    <w:rsid w:val="00803CA4"/>
    <w:rsid w:val="00803F15"/>
    <w:rsid w:val="00804A86"/>
    <w:rsid w:val="00804FCD"/>
    <w:rsid w:val="00805551"/>
    <w:rsid w:val="00805ACA"/>
    <w:rsid w:val="008074E6"/>
    <w:rsid w:val="00810C08"/>
    <w:rsid w:val="00811727"/>
    <w:rsid w:val="00811AA5"/>
    <w:rsid w:val="00811C91"/>
    <w:rsid w:val="00811E0E"/>
    <w:rsid w:val="00812DDA"/>
    <w:rsid w:val="008154C3"/>
    <w:rsid w:val="008159C6"/>
    <w:rsid w:val="00815E77"/>
    <w:rsid w:val="0081758C"/>
    <w:rsid w:val="008204B0"/>
    <w:rsid w:val="008214DB"/>
    <w:rsid w:val="00821614"/>
    <w:rsid w:val="0082239C"/>
    <w:rsid w:val="0082241B"/>
    <w:rsid w:val="008229AF"/>
    <w:rsid w:val="00823E8B"/>
    <w:rsid w:val="00824342"/>
    <w:rsid w:val="00824421"/>
    <w:rsid w:val="0082565E"/>
    <w:rsid w:val="0083037C"/>
    <w:rsid w:val="00832A06"/>
    <w:rsid w:val="00832D00"/>
    <w:rsid w:val="00833919"/>
    <w:rsid w:val="00835E1A"/>
    <w:rsid w:val="008362C8"/>
    <w:rsid w:val="008366E3"/>
    <w:rsid w:val="0083758C"/>
    <w:rsid w:val="00841387"/>
    <w:rsid w:val="00841432"/>
    <w:rsid w:val="00841BA0"/>
    <w:rsid w:val="008435C6"/>
    <w:rsid w:val="008437DA"/>
    <w:rsid w:val="008438C4"/>
    <w:rsid w:val="00843BED"/>
    <w:rsid w:val="00844B0A"/>
    <w:rsid w:val="00844C3C"/>
    <w:rsid w:val="0084654D"/>
    <w:rsid w:val="00846929"/>
    <w:rsid w:val="00846A2C"/>
    <w:rsid w:val="00846D7B"/>
    <w:rsid w:val="008500D7"/>
    <w:rsid w:val="008501A9"/>
    <w:rsid w:val="00850D22"/>
    <w:rsid w:val="0085197C"/>
    <w:rsid w:val="00851D8E"/>
    <w:rsid w:val="00852A2D"/>
    <w:rsid w:val="00854B4C"/>
    <w:rsid w:val="00855505"/>
    <w:rsid w:val="008559C3"/>
    <w:rsid w:val="00856A3E"/>
    <w:rsid w:val="00856AB5"/>
    <w:rsid w:val="0085787E"/>
    <w:rsid w:val="00857F16"/>
    <w:rsid w:val="00860244"/>
    <w:rsid w:val="00860248"/>
    <w:rsid w:val="0086094B"/>
    <w:rsid w:val="00861A0F"/>
    <w:rsid w:val="00862A38"/>
    <w:rsid w:val="0086351C"/>
    <w:rsid w:val="008637DB"/>
    <w:rsid w:val="00864B43"/>
    <w:rsid w:val="00865953"/>
    <w:rsid w:val="00865B5A"/>
    <w:rsid w:val="008666C4"/>
    <w:rsid w:val="008671D8"/>
    <w:rsid w:val="008672F3"/>
    <w:rsid w:val="008678A8"/>
    <w:rsid w:val="0087039F"/>
    <w:rsid w:val="00870781"/>
    <w:rsid w:val="008707A6"/>
    <w:rsid w:val="00871A09"/>
    <w:rsid w:val="00871D94"/>
    <w:rsid w:val="0087233C"/>
    <w:rsid w:val="00873423"/>
    <w:rsid w:val="00873520"/>
    <w:rsid w:val="0087354A"/>
    <w:rsid w:val="00874552"/>
    <w:rsid w:val="00874FE5"/>
    <w:rsid w:val="00875ABA"/>
    <w:rsid w:val="00875F15"/>
    <w:rsid w:val="008763E1"/>
    <w:rsid w:val="0087687B"/>
    <w:rsid w:val="00876902"/>
    <w:rsid w:val="00880379"/>
    <w:rsid w:val="00880CF5"/>
    <w:rsid w:val="00882692"/>
    <w:rsid w:val="00882D9A"/>
    <w:rsid w:val="008843CA"/>
    <w:rsid w:val="00884CBB"/>
    <w:rsid w:val="00886C64"/>
    <w:rsid w:val="00886C87"/>
    <w:rsid w:val="008872BD"/>
    <w:rsid w:val="0088772A"/>
    <w:rsid w:val="0089083D"/>
    <w:rsid w:val="008928EB"/>
    <w:rsid w:val="00893938"/>
    <w:rsid w:val="00893A01"/>
    <w:rsid w:val="00893A1B"/>
    <w:rsid w:val="00893B6B"/>
    <w:rsid w:val="00893C00"/>
    <w:rsid w:val="0089512D"/>
    <w:rsid w:val="008969FC"/>
    <w:rsid w:val="00896C0A"/>
    <w:rsid w:val="008A0FFA"/>
    <w:rsid w:val="008A1528"/>
    <w:rsid w:val="008A1C62"/>
    <w:rsid w:val="008A3306"/>
    <w:rsid w:val="008A3676"/>
    <w:rsid w:val="008A553F"/>
    <w:rsid w:val="008A61DE"/>
    <w:rsid w:val="008A692B"/>
    <w:rsid w:val="008A754A"/>
    <w:rsid w:val="008B03A6"/>
    <w:rsid w:val="008B1AA5"/>
    <w:rsid w:val="008B1B86"/>
    <w:rsid w:val="008B3C22"/>
    <w:rsid w:val="008B4E89"/>
    <w:rsid w:val="008B5165"/>
    <w:rsid w:val="008B56D9"/>
    <w:rsid w:val="008B5B32"/>
    <w:rsid w:val="008B6612"/>
    <w:rsid w:val="008B74A9"/>
    <w:rsid w:val="008B797E"/>
    <w:rsid w:val="008C1726"/>
    <w:rsid w:val="008C1AFF"/>
    <w:rsid w:val="008C20B5"/>
    <w:rsid w:val="008C2262"/>
    <w:rsid w:val="008C3773"/>
    <w:rsid w:val="008C47F0"/>
    <w:rsid w:val="008C4CEA"/>
    <w:rsid w:val="008C4FD2"/>
    <w:rsid w:val="008C512D"/>
    <w:rsid w:val="008C5174"/>
    <w:rsid w:val="008C55CB"/>
    <w:rsid w:val="008C5D70"/>
    <w:rsid w:val="008C5FD9"/>
    <w:rsid w:val="008C6B4E"/>
    <w:rsid w:val="008C7503"/>
    <w:rsid w:val="008D1308"/>
    <w:rsid w:val="008D284B"/>
    <w:rsid w:val="008D3555"/>
    <w:rsid w:val="008D3A13"/>
    <w:rsid w:val="008D573B"/>
    <w:rsid w:val="008D5741"/>
    <w:rsid w:val="008D5FCE"/>
    <w:rsid w:val="008D6294"/>
    <w:rsid w:val="008D6A62"/>
    <w:rsid w:val="008D708A"/>
    <w:rsid w:val="008D7119"/>
    <w:rsid w:val="008D7958"/>
    <w:rsid w:val="008E0364"/>
    <w:rsid w:val="008E0DCA"/>
    <w:rsid w:val="008E1550"/>
    <w:rsid w:val="008E3010"/>
    <w:rsid w:val="008E3792"/>
    <w:rsid w:val="008E3A7A"/>
    <w:rsid w:val="008E3F15"/>
    <w:rsid w:val="008E3FEB"/>
    <w:rsid w:val="008E4100"/>
    <w:rsid w:val="008E4A70"/>
    <w:rsid w:val="008E4C60"/>
    <w:rsid w:val="008E4E40"/>
    <w:rsid w:val="008E5476"/>
    <w:rsid w:val="008E6B84"/>
    <w:rsid w:val="008E77DF"/>
    <w:rsid w:val="008E7BAA"/>
    <w:rsid w:val="008F02B0"/>
    <w:rsid w:val="008F0D5A"/>
    <w:rsid w:val="008F1E30"/>
    <w:rsid w:val="008F295F"/>
    <w:rsid w:val="008F3570"/>
    <w:rsid w:val="008F4E8A"/>
    <w:rsid w:val="008F57BD"/>
    <w:rsid w:val="008F5837"/>
    <w:rsid w:val="008F7B42"/>
    <w:rsid w:val="00900568"/>
    <w:rsid w:val="00900E2E"/>
    <w:rsid w:val="00901C9A"/>
    <w:rsid w:val="00902934"/>
    <w:rsid w:val="00902F3F"/>
    <w:rsid w:val="00904217"/>
    <w:rsid w:val="009042D8"/>
    <w:rsid w:val="00905380"/>
    <w:rsid w:val="00905E4D"/>
    <w:rsid w:val="0091126E"/>
    <w:rsid w:val="0091281A"/>
    <w:rsid w:val="00913F55"/>
    <w:rsid w:val="0091446F"/>
    <w:rsid w:val="009147BC"/>
    <w:rsid w:val="009147ED"/>
    <w:rsid w:val="00914E19"/>
    <w:rsid w:val="00915893"/>
    <w:rsid w:val="009158ED"/>
    <w:rsid w:val="00915F49"/>
    <w:rsid w:val="009163A8"/>
    <w:rsid w:val="00916960"/>
    <w:rsid w:val="00920AEE"/>
    <w:rsid w:val="00920D95"/>
    <w:rsid w:val="0092180E"/>
    <w:rsid w:val="00921D68"/>
    <w:rsid w:val="009237C6"/>
    <w:rsid w:val="00923EC8"/>
    <w:rsid w:val="00924A5E"/>
    <w:rsid w:val="00924B18"/>
    <w:rsid w:val="0092540E"/>
    <w:rsid w:val="00925DFA"/>
    <w:rsid w:val="00926CE9"/>
    <w:rsid w:val="00926D6C"/>
    <w:rsid w:val="00926FBE"/>
    <w:rsid w:val="00927262"/>
    <w:rsid w:val="009275BC"/>
    <w:rsid w:val="00927746"/>
    <w:rsid w:val="00927D99"/>
    <w:rsid w:val="009303B3"/>
    <w:rsid w:val="009308AD"/>
    <w:rsid w:val="00930E40"/>
    <w:rsid w:val="00930E53"/>
    <w:rsid w:val="00931565"/>
    <w:rsid w:val="009321E3"/>
    <w:rsid w:val="00932831"/>
    <w:rsid w:val="00933209"/>
    <w:rsid w:val="009349CC"/>
    <w:rsid w:val="00934E97"/>
    <w:rsid w:val="00934F77"/>
    <w:rsid w:val="00935045"/>
    <w:rsid w:val="0093532F"/>
    <w:rsid w:val="00935546"/>
    <w:rsid w:val="009359C0"/>
    <w:rsid w:val="0093707F"/>
    <w:rsid w:val="009370D4"/>
    <w:rsid w:val="009411E4"/>
    <w:rsid w:val="0094156E"/>
    <w:rsid w:val="00941A8D"/>
    <w:rsid w:val="00942351"/>
    <w:rsid w:val="00942C2A"/>
    <w:rsid w:val="00942DBD"/>
    <w:rsid w:val="0094331E"/>
    <w:rsid w:val="009434BB"/>
    <w:rsid w:val="0094550C"/>
    <w:rsid w:val="00946551"/>
    <w:rsid w:val="009468EA"/>
    <w:rsid w:val="00950E98"/>
    <w:rsid w:val="00951740"/>
    <w:rsid w:val="00951D0C"/>
    <w:rsid w:val="00951FB1"/>
    <w:rsid w:val="009536D7"/>
    <w:rsid w:val="00953C00"/>
    <w:rsid w:val="009542E9"/>
    <w:rsid w:val="00954D7C"/>
    <w:rsid w:val="009554F7"/>
    <w:rsid w:val="00955D27"/>
    <w:rsid w:val="00955E7D"/>
    <w:rsid w:val="00956645"/>
    <w:rsid w:val="0096058F"/>
    <w:rsid w:val="00961E63"/>
    <w:rsid w:val="009623B8"/>
    <w:rsid w:val="00962678"/>
    <w:rsid w:val="009643A3"/>
    <w:rsid w:val="009667D1"/>
    <w:rsid w:val="00967CAD"/>
    <w:rsid w:val="0097006C"/>
    <w:rsid w:val="009704F9"/>
    <w:rsid w:val="00970901"/>
    <w:rsid w:val="0097230C"/>
    <w:rsid w:val="0097342D"/>
    <w:rsid w:val="00973443"/>
    <w:rsid w:val="00974AF0"/>
    <w:rsid w:val="00974DDF"/>
    <w:rsid w:val="00975F94"/>
    <w:rsid w:val="0097605E"/>
    <w:rsid w:val="0097685A"/>
    <w:rsid w:val="0097696A"/>
    <w:rsid w:val="00977189"/>
    <w:rsid w:val="00981B40"/>
    <w:rsid w:val="00982B7C"/>
    <w:rsid w:val="00982E5E"/>
    <w:rsid w:val="00982EC8"/>
    <w:rsid w:val="0098319D"/>
    <w:rsid w:val="0098326A"/>
    <w:rsid w:val="00983407"/>
    <w:rsid w:val="00983F83"/>
    <w:rsid w:val="00984C98"/>
    <w:rsid w:val="00984D7D"/>
    <w:rsid w:val="00985D6C"/>
    <w:rsid w:val="00986317"/>
    <w:rsid w:val="0098661C"/>
    <w:rsid w:val="00987EC8"/>
    <w:rsid w:val="009901D8"/>
    <w:rsid w:val="00991C81"/>
    <w:rsid w:val="00992CF4"/>
    <w:rsid w:val="00993635"/>
    <w:rsid w:val="00993763"/>
    <w:rsid w:val="00993851"/>
    <w:rsid w:val="00994C17"/>
    <w:rsid w:val="00994E49"/>
    <w:rsid w:val="00995603"/>
    <w:rsid w:val="0099563C"/>
    <w:rsid w:val="0099723D"/>
    <w:rsid w:val="009976AE"/>
    <w:rsid w:val="009A0C33"/>
    <w:rsid w:val="009A0EFD"/>
    <w:rsid w:val="009A1605"/>
    <w:rsid w:val="009A1803"/>
    <w:rsid w:val="009A27D0"/>
    <w:rsid w:val="009A29AF"/>
    <w:rsid w:val="009A3090"/>
    <w:rsid w:val="009A3FE5"/>
    <w:rsid w:val="009A4550"/>
    <w:rsid w:val="009A4645"/>
    <w:rsid w:val="009A4A5A"/>
    <w:rsid w:val="009A5141"/>
    <w:rsid w:val="009A5D3C"/>
    <w:rsid w:val="009A680F"/>
    <w:rsid w:val="009A792C"/>
    <w:rsid w:val="009A7AAC"/>
    <w:rsid w:val="009A7DA7"/>
    <w:rsid w:val="009B06B2"/>
    <w:rsid w:val="009B07DC"/>
    <w:rsid w:val="009B234E"/>
    <w:rsid w:val="009B2390"/>
    <w:rsid w:val="009B2A1C"/>
    <w:rsid w:val="009B31DE"/>
    <w:rsid w:val="009B45B8"/>
    <w:rsid w:val="009B5ACF"/>
    <w:rsid w:val="009B5E33"/>
    <w:rsid w:val="009B6216"/>
    <w:rsid w:val="009B6476"/>
    <w:rsid w:val="009B762E"/>
    <w:rsid w:val="009B7959"/>
    <w:rsid w:val="009C1352"/>
    <w:rsid w:val="009C139F"/>
    <w:rsid w:val="009C14C4"/>
    <w:rsid w:val="009C1C0E"/>
    <w:rsid w:val="009C1D9E"/>
    <w:rsid w:val="009C2E10"/>
    <w:rsid w:val="009C3628"/>
    <w:rsid w:val="009C3A46"/>
    <w:rsid w:val="009C486F"/>
    <w:rsid w:val="009C587C"/>
    <w:rsid w:val="009C6F75"/>
    <w:rsid w:val="009C7174"/>
    <w:rsid w:val="009C75F7"/>
    <w:rsid w:val="009D07E2"/>
    <w:rsid w:val="009D1CC8"/>
    <w:rsid w:val="009D20FE"/>
    <w:rsid w:val="009D35BC"/>
    <w:rsid w:val="009D35DC"/>
    <w:rsid w:val="009D59EF"/>
    <w:rsid w:val="009D6139"/>
    <w:rsid w:val="009D69C9"/>
    <w:rsid w:val="009D6FA6"/>
    <w:rsid w:val="009D7098"/>
    <w:rsid w:val="009E056C"/>
    <w:rsid w:val="009E0E74"/>
    <w:rsid w:val="009E108A"/>
    <w:rsid w:val="009E1B53"/>
    <w:rsid w:val="009E1DEB"/>
    <w:rsid w:val="009E24EC"/>
    <w:rsid w:val="009E295E"/>
    <w:rsid w:val="009E48A2"/>
    <w:rsid w:val="009E4AED"/>
    <w:rsid w:val="009E4EF1"/>
    <w:rsid w:val="009E5340"/>
    <w:rsid w:val="009E58A1"/>
    <w:rsid w:val="009E647C"/>
    <w:rsid w:val="009E6A29"/>
    <w:rsid w:val="009E6FF6"/>
    <w:rsid w:val="009E742B"/>
    <w:rsid w:val="009E75BB"/>
    <w:rsid w:val="009E7A04"/>
    <w:rsid w:val="009F323F"/>
    <w:rsid w:val="009F347A"/>
    <w:rsid w:val="009F3820"/>
    <w:rsid w:val="009F68A3"/>
    <w:rsid w:val="009F7639"/>
    <w:rsid w:val="00A00D20"/>
    <w:rsid w:val="00A017B8"/>
    <w:rsid w:val="00A0346B"/>
    <w:rsid w:val="00A0379A"/>
    <w:rsid w:val="00A05CE2"/>
    <w:rsid w:val="00A06AD9"/>
    <w:rsid w:val="00A10763"/>
    <w:rsid w:val="00A10CB5"/>
    <w:rsid w:val="00A10D32"/>
    <w:rsid w:val="00A10DB9"/>
    <w:rsid w:val="00A12E99"/>
    <w:rsid w:val="00A1326C"/>
    <w:rsid w:val="00A133C3"/>
    <w:rsid w:val="00A1350F"/>
    <w:rsid w:val="00A13A1F"/>
    <w:rsid w:val="00A1403B"/>
    <w:rsid w:val="00A16222"/>
    <w:rsid w:val="00A163A6"/>
    <w:rsid w:val="00A1641B"/>
    <w:rsid w:val="00A17893"/>
    <w:rsid w:val="00A20DF6"/>
    <w:rsid w:val="00A21DD1"/>
    <w:rsid w:val="00A224EE"/>
    <w:rsid w:val="00A23354"/>
    <w:rsid w:val="00A23C5F"/>
    <w:rsid w:val="00A23D98"/>
    <w:rsid w:val="00A260FD"/>
    <w:rsid w:val="00A26C17"/>
    <w:rsid w:val="00A277F4"/>
    <w:rsid w:val="00A32453"/>
    <w:rsid w:val="00A33593"/>
    <w:rsid w:val="00A33FB6"/>
    <w:rsid w:val="00A3427F"/>
    <w:rsid w:val="00A343CA"/>
    <w:rsid w:val="00A35C04"/>
    <w:rsid w:val="00A35C14"/>
    <w:rsid w:val="00A365E6"/>
    <w:rsid w:val="00A366A9"/>
    <w:rsid w:val="00A36858"/>
    <w:rsid w:val="00A416D2"/>
    <w:rsid w:val="00A42F50"/>
    <w:rsid w:val="00A43253"/>
    <w:rsid w:val="00A4392A"/>
    <w:rsid w:val="00A444D4"/>
    <w:rsid w:val="00A445B9"/>
    <w:rsid w:val="00A44C24"/>
    <w:rsid w:val="00A4598A"/>
    <w:rsid w:val="00A45AE2"/>
    <w:rsid w:val="00A46142"/>
    <w:rsid w:val="00A46DB7"/>
    <w:rsid w:val="00A46FCE"/>
    <w:rsid w:val="00A5025F"/>
    <w:rsid w:val="00A5124C"/>
    <w:rsid w:val="00A51352"/>
    <w:rsid w:val="00A54BE3"/>
    <w:rsid w:val="00A54C1E"/>
    <w:rsid w:val="00A54DAA"/>
    <w:rsid w:val="00A54DC3"/>
    <w:rsid w:val="00A5514A"/>
    <w:rsid w:val="00A5714D"/>
    <w:rsid w:val="00A60D62"/>
    <w:rsid w:val="00A60FBA"/>
    <w:rsid w:val="00A61EDA"/>
    <w:rsid w:val="00A621B2"/>
    <w:rsid w:val="00A6298E"/>
    <w:rsid w:val="00A62D64"/>
    <w:rsid w:val="00A63027"/>
    <w:rsid w:val="00A63EF4"/>
    <w:rsid w:val="00A63F19"/>
    <w:rsid w:val="00A64169"/>
    <w:rsid w:val="00A6505E"/>
    <w:rsid w:val="00A65591"/>
    <w:rsid w:val="00A66C0B"/>
    <w:rsid w:val="00A67D28"/>
    <w:rsid w:val="00A70F1B"/>
    <w:rsid w:val="00A71003"/>
    <w:rsid w:val="00A7154F"/>
    <w:rsid w:val="00A72013"/>
    <w:rsid w:val="00A72147"/>
    <w:rsid w:val="00A72BAD"/>
    <w:rsid w:val="00A72BD2"/>
    <w:rsid w:val="00A7441F"/>
    <w:rsid w:val="00A74499"/>
    <w:rsid w:val="00A74983"/>
    <w:rsid w:val="00A75602"/>
    <w:rsid w:val="00A75E87"/>
    <w:rsid w:val="00A75F35"/>
    <w:rsid w:val="00A770A2"/>
    <w:rsid w:val="00A80258"/>
    <w:rsid w:val="00A8224B"/>
    <w:rsid w:val="00A831F1"/>
    <w:rsid w:val="00A838E9"/>
    <w:rsid w:val="00A8444D"/>
    <w:rsid w:val="00A84779"/>
    <w:rsid w:val="00A84B34"/>
    <w:rsid w:val="00A84C79"/>
    <w:rsid w:val="00A84CFD"/>
    <w:rsid w:val="00A853EA"/>
    <w:rsid w:val="00A86B0C"/>
    <w:rsid w:val="00A86CB5"/>
    <w:rsid w:val="00A87B8A"/>
    <w:rsid w:val="00A90815"/>
    <w:rsid w:val="00A9097B"/>
    <w:rsid w:val="00A90FBE"/>
    <w:rsid w:val="00A9139B"/>
    <w:rsid w:val="00A91CFB"/>
    <w:rsid w:val="00A922A5"/>
    <w:rsid w:val="00A93B4C"/>
    <w:rsid w:val="00A95761"/>
    <w:rsid w:val="00A95DD1"/>
    <w:rsid w:val="00A96904"/>
    <w:rsid w:val="00A96C18"/>
    <w:rsid w:val="00A97C23"/>
    <w:rsid w:val="00A97CF7"/>
    <w:rsid w:val="00AA1106"/>
    <w:rsid w:val="00AA1982"/>
    <w:rsid w:val="00AA20E8"/>
    <w:rsid w:val="00AA2FE3"/>
    <w:rsid w:val="00AA50D1"/>
    <w:rsid w:val="00AA6271"/>
    <w:rsid w:val="00AA6490"/>
    <w:rsid w:val="00AA7D03"/>
    <w:rsid w:val="00AA7E57"/>
    <w:rsid w:val="00AB0700"/>
    <w:rsid w:val="00AB08DC"/>
    <w:rsid w:val="00AB18AF"/>
    <w:rsid w:val="00AB1D3F"/>
    <w:rsid w:val="00AB20D8"/>
    <w:rsid w:val="00AB267E"/>
    <w:rsid w:val="00AB26CF"/>
    <w:rsid w:val="00AB38A1"/>
    <w:rsid w:val="00AB3D4D"/>
    <w:rsid w:val="00AB3E96"/>
    <w:rsid w:val="00AB3EB7"/>
    <w:rsid w:val="00AB4536"/>
    <w:rsid w:val="00AB5B08"/>
    <w:rsid w:val="00AB5B67"/>
    <w:rsid w:val="00AB6071"/>
    <w:rsid w:val="00AB7E14"/>
    <w:rsid w:val="00AC06DB"/>
    <w:rsid w:val="00AC09CF"/>
    <w:rsid w:val="00AC22D1"/>
    <w:rsid w:val="00AC2F62"/>
    <w:rsid w:val="00AC300F"/>
    <w:rsid w:val="00AC480B"/>
    <w:rsid w:val="00AC4EC6"/>
    <w:rsid w:val="00AC538D"/>
    <w:rsid w:val="00AC6074"/>
    <w:rsid w:val="00AC7F1D"/>
    <w:rsid w:val="00AD031E"/>
    <w:rsid w:val="00AD0858"/>
    <w:rsid w:val="00AD0C2E"/>
    <w:rsid w:val="00AD2211"/>
    <w:rsid w:val="00AD24ED"/>
    <w:rsid w:val="00AD2D22"/>
    <w:rsid w:val="00AD3735"/>
    <w:rsid w:val="00AD3930"/>
    <w:rsid w:val="00AD3C4B"/>
    <w:rsid w:val="00AD4202"/>
    <w:rsid w:val="00AD6036"/>
    <w:rsid w:val="00AD631C"/>
    <w:rsid w:val="00AD642B"/>
    <w:rsid w:val="00AD7888"/>
    <w:rsid w:val="00AE01A8"/>
    <w:rsid w:val="00AE0780"/>
    <w:rsid w:val="00AE1142"/>
    <w:rsid w:val="00AE21DB"/>
    <w:rsid w:val="00AE25F2"/>
    <w:rsid w:val="00AE4ABB"/>
    <w:rsid w:val="00AE4D0B"/>
    <w:rsid w:val="00AE4EED"/>
    <w:rsid w:val="00AE4F3D"/>
    <w:rsid w:val="00AE5496"/>
    <w:rsid w:val="00AE73F4"/>
    <w:rsid w:val="00AE7740"/>
    <w:rsid w:val="00AE7B3D"/>
    <w:rsid w:val="00AE7E8B"/>
    <w:rsid w:val="00AF027B"/>
    <w:rsid w:val="00AF02E6"/>
    <w:rsid w:val="00AF1BFD"/>
    <w:rsid w:val="00AF1D58"/>
    <w:rsid w:val="00AF2516"/>
    <w:rsid w:val="00AF2B8F"/>
    <w:rsid w:val="00AF4381"/>
    <w:rsid w:val="00AF5E5A"/>
    <w:rsid w:val="00AF6B7D"/>
    <w:rsid w:val="00AF6D00"/>
    <w:rsid w:val="00AF7CAF"/>
    <w:rsid w:val="00B0039A"/>
    <w:rsid w:val="00B01205"/>
    <w:rsid w:val="00B01607"/>
    <w:rsid w:val="00B02963"/>
    <w:rsid w:val="00B03833"/>
    <w:rsid w:val="00B046FC"/>
    <w:rsid w:val="00B04FBA"/>
    <w:rsid w:val="00B04FF5"/>
    <w:rsid w:val="00B05A1F"/>
    <w:rsid w:val="00B066F0"/>
    <w:rsid w:val="00B06944"/>
    <w:rsid w:val="00B06C18"/>
    <w:rsid w:val="00B072E1"/>
    <w:rsid w:val="00B079FF"/>
    <w:rsid w:val="00B110E1"/>
    <w:rsid w:val="00B11555"/>
    <w:rsid w:val="00B115D2"/>
    <w:rsid w:val="00B11927"/>
    <w:rsid w:val="00B11B7F"/>
    <w:rsid w:val="00B12696"/>
    <w:rsid w:val="00B12704"/>
    <w:rsid w:val="00B131E9"/>
    <w:rsid w:val="00B140FA"/>
    <w:rsid w:val="00B142B6"/>
    <w:rsid w:val="00B1488F"/>
    <w:rsid w:val="00B1499F"/>
    <w:rsid w:val="00B15360"/>
    <w:rsid w:val="00B15AEB"/>
    <w:rsid w:val="00B16168"/>
    <w:rsid w:val="00B16C73"/>
    <w:rsid w:val="00B16FB2"/>
    <w:rsid w:val="00B17042"/>
    <w:rsid w:val="00B177ED"/>
    <w:rsid w:val="00B213ED"/>
    <w:rsid w:val="00B21718"/>
    <w:rsid w:val="00B2185D"/>
    <w:rsid w:val="00B22555"/>
    <w:rsid w:val="00B22D77"/>
    <w:rsid w:val="00B22F77"/>
    <w:rsid w:val="00B2360E"/>
    <w:rsid w:val="00B23693"/>
    <w:rsid w:val="00B236A7"/>
    <w:rsid w:val="00B23E2F"/>
    <w:rsid w:val="00B247A0"/>
    <w:rsid w:val="00B25CB2"/>
    <w:rsid w:val="00B25D8E"/>
    <w:rsid w:val="00B25FBA"/>
    <w:rsid w:val="00B27C2D"/>
    <w:rsid w:val="00B27E4B"/>
    <w:rsid w:val="00B30211"/>
    <w:rsid w:val="00B3042B"/>
    <w:rsid w:val="00B30715"/>
    <w:rsid w:val="00B33A05"/>
    <w:rsid w:val="00B33C1E"/>
    <w:rsid w:val="00B33CF2"/>
    <w:rsid w:val="00B3407C"/>
    <w:rsid w:val="00B3422E"/>
    <w:rsid w:val="00B35315"/>
    <w:rsid w:val="00B353C6"/>
    <w:rsid w:val="00B35467"/>
    <w:rsid w:val="00B35A60"/>
    <w:rsid w:val="00B35A6F"/>
    <w:rsid w:val="00B35CE2"/>
    <w:rsid w:val="00B3621E"/>
    <w:rsid w:val="00B368E7"/>
    <w:rsid w:val="00B40215"/>
    <w:rsid w:val="00B4132C"/>
    <w:rsid w:val="00B41BBE"/>
    <w:rsid w:val="00B41CD4"/>
    <w:rsid w:val="00B42C52"/>
    <w:rsid w:val="00B43003"/>
    <w:rsid w:val="00B440B0"/>
    <w:rsid w:val="00B44B5C"/>
    <w:rsid w:val="00B44D53"/>
    <w:rsid w:val="00B45697"/>
    <w:rsid w:val="00B45DD7"/>
    <w:rsid w:val="00B461D3"/>
    <w:rsid w:val="00B467A4"/>
    <w:rsid w:val="00B46908"/>
    <w:rsid w:val="00B46A6C"/>
    <w:rsid w:val="00B478B0"/>
    <w:rsid w:val="00B514C9"/>
    <w:rsid w:val="00B518D6"/>
    <w:rsid w:val="00B51BEF"/>
    <w:rsid w:val="00B523B1"/>
    <w:rsid w:val="00B53404"/>
    <w:rsid w:val="00B543DD"/>
    <w:rsid w:val="00B54F8E"/>
    <w:rsid w:val="00B5612F"/>
    <w:rsid w:val="00B564B8"/>
    <w:rsid w:val="00B57086"/>
    <w:rsid w:val="00B57302"/>
    <w:rsid w:val="00B57B78"/>
    <w:rsid w:val="00B600B6"/>
    <w:rsid w:val="00B6045D"/>
    <w:rsid w:val="00B61C9A"/>
    <w:rsid w:val="00B6249A"/>
    <w:rsid w:val="00B63C98"/>
    <w:rsid w:val="00B642F3"/>
    <w:rsid w:val="00B667D8"/>
    <w:rsid w:val="00B70061"/>
    <w:rsid w:val="00B70D63"/>
    <w:rsid w:val="00B7250E"/>
    <w:rsid w:val="00B7309E"/>
    <w:rsid w:val="00B73605"/>
    <w:rsid w:val="00B73F29"/>
    <w:rsid w:val="00B74ECA"/>
    <w:rsid w:val="00B753BD"/>
    <w:rsid w:val="00B75B82"/>
    <w:rsid w:val="00B75FBD"/>
    <w:rsid w:val="00B762F8"/>
    <w:rsid w:val="00B77858"/>
    <w:rsid w:val="00B80BE6"/>
    <w:rsid w:val="00B82B16"/>
    <w:rsid w:val="00B82F01"/>
    <w:rsid w:val="00B834AF"/>
    <w:rsid w:val="00B8432B"/>
    <w:rsid w:val="00B85D22"/>
    <w:rsid w:val="00B85F5B"/>
    <w:rsid w:val="00B870BC"/>
    <w:rsid w:val="00B90DE6"/>
    <w:rsid w:val="00B9149A"/>
    <w:rsid w:val="00B92797"/>
    <w:rsid w:val="00B92A4B"/>
    <w:rsid w:val="00B93709"/>
    <w:rsid w:val="00B93A57"/>
    <w:rsid w:val="00B956E3"/>
    <w:rsid w:val="00B95C0D"/>
    <w:rsid w:val="00B95D81"/>
    <w:rsid w:val="00B960AF"/>
    <w:rsid w:val="00B9618A"/>
    <w:rsid w:val="00B9625E"/>
    <w:rsid w:val="00B9730A"/>
    <w:rsid w:val="00B97C1A"/>
    <w:rsid w:val="00B97C56"/>
    <w:rsid w:val="00B97DDD"/>
    <w:rsid w:val="00BA07B1"/>
    <w:rsid w:val="00BA1410"/>
    <w:rsid w:val="00BA1927"/>
    <w:rsid w:val="00BA1959"/>
    <w:rsid w:val="00BA3DA7"/>
    <w:rsid w:val="00BA436E"/>
    <w:rsid w:val="00BA5315"/>
    <w:rsid w:val="00BA537F"/>
    <w:rsid w:val="00BA53D2"/>
    <w:rsid w:val="00BA75A0"/>
    <w:rsid w:val="00BA76D1"/>
    <w:rsid w:val="00BA7986"/>
    <w:rsid w:val="00BA7B5E"/>
    <w:rsid w:val="00BA7FAB"/>
    <w:rsid w:val="00BB12BC"/>
    <w:rsid w:val="00BB15C8"/>
    <w:rsid w:val="00BB1EE5"/>
    <w:rsid w:val="00BB2FAB"/>
    <w:rsid w:val="00BB5753"/>
    <w:rsid w:val="00BB726B"/>
    <w:rsid w:val="00BB77A4"/>
    <w:rsid w:val="00BC03DC"/>
    <w:rsid w:val="00BC0A37"/>
    <w:rsid w:val="00BC0CC1"/>
    <w:rsid w:val="00BC0EAA"/>
    <w:rsid w:val="00BC1035"/>
    <w:rsid w:val="00BC1C6A"/>
    <w:rsid w:val="00BC2447"/>
    <w:rsid w:val="00BC3676"/>
    <w:rsid w:val="00BC3D3A"/>
    <w:rsid w:val="00BC435B"/>
    <w:rsid w:val="00BC48BE"/>
    <w:rsid w:val="00BC5F86"/>
    <w:rsid w:val="00BC730A"/>
    <w:rsid w:val="00BC7816"/>
    <w:rsid w:val="00BC7820"/>
    <w:rsid w:val="00BD0B5F"/>
    <w:rsid w:val="00BD1177"/>
    <w:rsid w:val="00BD127D"/>
    <w:rsid w:val="00BD2DD0"/>
    <w:rsid w:val="00BD3134"/>
    <w:rsid w:val="00BD33DD"/>
    <w:rsid w:val="00BD3747"/>
    <w:rsid w:val="00BD539A"/>
    <w:rsid w:val="00BD5CC1"/>
    <w:rsid w:val="00BD7BD3"/>
    <w:rsid w:val="00BE01E2"/>
    <w:rsid w:val="00BE338E"/>
    <w:rsid w:val="00BE406F"/>
    <w:rsid w:val="00BE51A2"/>
    <w:rsid w:val="00BE5206"/>
    <w:rsid w:val="00BE659D"/>
    <w:rsid w:val="00BE693F"/>
    <w:rsid w:val="00BE71BD"/>
    <w:rsid w:val="00BE7305"/>
    <w:rsid w:val="00BE7AA2"/>
    <w:rsid w:val="00BE7BCA"/>
    <w:rsid w:val="00BF1369"/>
    <w:rsid w:val="00BF2022"/>
    <w:rsid w:val="00BF2497"/>
    <w:rsid w:val="00BF37CA"/>
    <w:rsid w:val="00BF52C2"/>
    <w:rsid w:val="00BF6532"/>
    <w:rsid w:val="00BF6687"/>
    <w:rsid w:val="00BF66D0"/>
    <w:rsid w:val="00BF7894"/>
    <w:rsid w:val="00BF7A8E"/>
    <w:rsid w:val="00C00D72"/>
    <w:rsid w:val="00C012FD"/>
    <w:rsid w:val="00C01679"/>
    <w:rsid w:val="00C01EE0"/>
    <w:rsid w:val="00C026A0"/>
    <w:rsid w:val="00C02A26"/>
    <w:rsid w:val="00C02AFD"/>
    <w:rsid w:val="00C03906"/>
    <w:rsid w:val="00C03D35"/>
    <w:rsid w:val="00C045B7"/>
    <w:rsid w:val="00C060A3"/>
    <w:rsid w:val="00C06D7B"/>
    <w:rsid w:val="00C0749D"/>
    <w:rsid w:val="00C07BA1"/>
    <w:rsid w:val="00C101B7"/>
    <w:rsid w:val="00C10620"/>
    <w:rsid w:val="00C13080"/>
    <w:rsid w:val="00C13A09"/>
    <w:rsid w:val="00C14BB4"/>
    <w:rsid w:val="00C15177"/>
    <w:rsid w:val="00C158F4"/>
    <w:rsid w:val="00C165A9"/>
    <w:rsid w:val="00C1668B"/>
    <w:rsid w:val="00C16A43"/>
    <w:rsid w:val="00C170E8"/>
    <w:rsid w:val="00C1775F"/>
    <w:rsid w:val="00C17826"/>
    <w:rsid w:val="00C20FEF"/>
    <w:rsid w:val="00C21ACB"/>
    <w:rsid w:val="00C22CA5"/>
    <w:rsid w:val="00C23AB3"/>
    <w:rsid w:val="00C23D85"/>
    <w:rsid w:val="00C23F2A"/>
    <w:rsid w:val="00C2400B"/>
    <w:rsid w:val="00C24B86"/>
    <w:rsid w:val="00C24DDE"/>
    <w:rsid w:val="00C25A71"/>
    <w:rsid w:val="00C27794"/>
    <w:rsid w:val="00C27CED"/>
    <w:rsid w:val="00C310EA"/>
    <w:rsid w:val="00C31A71"/>
    <w:rsid w:val="00C31D01"/>
    <w:rsid w:val="00C31D0D"/>
    <w:rsid w:val="00C32125"/>
    <w:rsid w:val="00C34229"/>
    <w:rsid w:val="00C34599"/>
    <w:rsid w:val="00C346A7"/>
    <w:rsid w:val="00C349D7"/>
    <w:rsid w:val="00C34E1B"/>
    <w:rsid w:val="00C356CC"/>
    <w:rsid w:val="00C36133"/>
    <w:rsid w:val="00C361E1"/>
    <w:rsid w:val="00C362E7"/>
    <w:rsid w:val="00C3643D"/>
    <w:rsid w:val="00C36817"/>
    <w:rsid w:val="00C37F32"/>
    <w:rsid w:val="00C40B66"/>
    <w:rsid w:val="00C40E6B"/>
    <w:rsid w:val="00C41D9A"/>
    <w:rsid w:val="00C41F86"/>
    <w:rsid w:val="00C429E0"/>
    <w:rsid w:val="00C44035"/>
    <w:rsid w:val="00C449A4"/>
    <w:rsid w:val="00C46AF3"/>
    <w:rsid w:val="00C46CE6"/>
    <w:rsid w:val="00C47172"/>
    <w:rsid w:val="00C475C4"/>
    <w:rsid w:val="00C4776F"/>
    <w:rsid w:val="00C47E32"/>
    <w:rsid w:val="00C47F92"/>
    <w:rsid w:val="00C50ED4"/>
    <w:rsid w:val="00C515DA"/>
    <w:rsid w:val="00C51B9F"/>
    <w:rsid w:val="00C51F1E"/>
    <w:rsid w:val="00C52965"/>
    <w:rsid w:val="00C53150"/>
    <w:rsid w:val="00C5419F"/>
    <w:rsid w:val="00C55636"/>
    <w:rsid w:val="00C5651A"/>
    <w:rsid w:val="00C565C6"/>
    <w:rsid w:val="00C57694"/>
    <w:rsid w:val="00C60534"/>
    <w:rsid w:val="00C60E04"/>
    <w:rsid w:val="00C60EE5"/>
    <w:rsid w:val="00C60FC7"/>
    <w:rsid w:val="00C63B32"/>
    <w:rsid w:val="00C63DE8"/>
    <w:rsid w:val="00C643A3"/>
    <w:rsid w:val="00C64494"/>
    <w:rsid w:val="00C6670F"/>
    <w:rsid w:val="00C667BB"/>
    <w:rsid w:val="00C67137"/>
    <w:rsid w:val="00C70121"/>
    <w:rsid w:val="00C72546"/>
    <w:rsid w:val="00C74280"/>
    <w:rsid w:val="00C747E1"/>
    <w:rsid w:val="00C74877"/>
    <w:rsid w:val="00C75B21"/>
    <w:rsid w:val="00C75BFF"/>
    <w:rsid w:val="00C7606B"/>
    <w:rsid w:val="00C763A3"/>
    <w:rsid w:val="00C768F7"/>
    <w:rsid w:val="00C779F6"/>
    <w:rsid w:val="00C80056"/>
    <w:rsid w:val="00C80C13"/>
    <w:rsid w:val="00C811DF"/>
    <w:rsid w:val="00C82416"/>
    <w:rsid w:val="00C82F60"/>
    <w:rsid w:val="00C8315E"/>
    <w:rsid w:val="00C83EF2"/>
    <w:rsid w:val="00C84666"/>
    <w:rsid w:val="00C85C0C"/>
    <w:rsid w:val="00C85C54"/>
    <w:rsid w:val="00C9014E"/>
    <w:rsid w:val="00C90315"/>
    <w:rsid w:val="00C92375"/>
    <w:rsid w:val="00C936AA"/>
    <w:rsid w:val="00C9475F"/>
    <w:rsid w:val="00C95378"/>
    <w:rsid w:val="00C962BB"/>
    <w:rsid w:val="00C96475"/>
    <w:rsid w:val="00C979F9"/>
    <w:rsid w:val="00CA0D4B"/>
    <w:rsid w:val="00CA0EB8"/>
    <w:rsid w:val="00CA14D8"/>
    <w:rsid w:val="00CA1754"/>
    <w:rsid w:val="00CA40FA"/>
    <w:rsid w:val="00CA45FD"/>
    <w:rsid w:val="00CA5E3A"/>
    <w:rsid w:val="00CA66E5"/>
    <w:rsid w:val="00CA6919"/>
    <w:rsid w:val="00CA6A67"/>
    <w:rsid w:val="00CA7D85"/>
    <w:rsid w:val="00CB12EF"/>
    <w:rsid w:val="00CB1301"/>
    <w:rsid w:val="00CB15AF"/>
    <w:rsid w:val="00CB2F79"/>
    <w:rsid w:val="00CB317D"/>
    <w:rsid w:val="00CB36BE"/>
    <w:rsid w:val="00CB4CDC"/>
    <w:rsid w:val="00CB5932"/>
    <w:rsid w:val="00CB646B"/>
    <w:rsid w:val="00CB7825"/>
    <w:rsid w:val="00CB7966"/>
    <w:rsid w:val="00CC02C9"/>
    <w:rsid w:val="00CC22BE"/>
    <w:rsid w:val="00CC2DC1"/>
    <w:rsid w:val="00CC352A"/>
    <w:rsid w:val="00CC572B"/>
    <w:rsid w:val="00CD00C7"/>
    <w:rsid w:val="00CD18B7"/>
    <w:rsid w:val="00CD2CE3"/>
    <w:rsid w:val="00CD3EA5"/>
    <w:rsid w:val="00CD4729"/>
    <w:rsid w:val="00CD4D07"/>
    <w:rsid w:val="00CD6AA0"/>
    <w:rsid w:val="00CD77CE"/>
    <w:rsid w:val="00CD794B"/>
    <w:rsid w:val="00CE166D"/>
    <w:rsid w:val="00CE1AC4"/>
    <w:rsid w:val="00CE2539"/>
    <w:rsid w:val="00CE2E7B"/>
    <w:rsid w:val="00CE3520"/>
    <w:rsid w:val="00CE48B5"/>
    <w:rsid w:val="00CE5884"/>
    <w:rsid w:val="00CE74A2"/>
    <w:rsid w:val="00CF002D"/>
    <w:rsid w:val="00CF04D6"/>
    <w:rsid w:val="00CF0A4B"/>
    <w:rsid w:val="00CF0C24"/>
    <w:rsid w:val="00CF0EF2"/>
    <w:rsid w:val="00CF162B"/>
    <w:rsid w:val="00CF1CFC"/>
    <w:rsid w:val="00CF2082"/>
    <w:rsid w:val="00CF3C05"/>
    <w:rsid w:val="00CF4D40"/>
    <w:rsid w:val="00CF554D"/>
    <w:rsid w:val="00CF638C"/>
    <w:rsid w:val="00CF66DF"/>
    <w:rsid w:val="00CF6C11"/>
    <w:rsid w:val="00CF73C8"/>
    <w:rsid w:val="00CF7C7B"/>
    <w:rsid w:val="00D00A4C"/>
    <w:rsid w:val="00D0247F"/>
    <w:rsid w:val="00D02707"/>
    <w:rsid w:val="00D03A35"/>
    <w:rsid w:val="00D03ECC"/>
    <w:rsid w:val="00D04079"/>
    <w:rsid w:val="00D04E38"/>
    <w:rsid w:val="00D056D8"/>
    <w:rsid w:val="00D05DC0"/>
    <w:rsid w:val="00D061E4"/>
    <w:rsid w:val="00D0756F"/>
    <w:rsid w:val="00D106E7"/>
    <w:rsid w:val="00D10D73"/>
    <w:rsid w:val="00D120CD"/>
    <w:rsid w:val="00D122CB"/>
    <w:rsid w:val="00D12A66"/>
    <w:rsid w:val="00D147D8"/>
    <w:rsid w:val="00D1744F"/>
    <w:rsid w:val="00D17865"/>
    <w:rsid w:val="00D17948"/>
    <w:rsid w:val="00D17BBE"/>
    <w:rsid w:val="00D21D41"/>
    <w:rsid w:val="00D21D98"/>
    <w:rsid w:val="00D21FB6"/>
    <w:rsid w:val="00D226D5"/>
    <w:rsid w:val="00D23D91"/>
    <w:rsid w:val="00D2416D"/>
    <w:rsid w:val="00D248E4"/>
    <w:rsid w:val="00D249C8"/>
    <w:rsid w:val="00D24B54"/>
    <w:rsid w:val="00D25B23"/>
    <w:rsid w:val="00D2716F"/>
    <w:rsid w:val="00D27226"/>
    <w:rsid w:val="00D275FB"/>
    <w:rsid w:val="00D30A7F"/>
    <w:rsid w:val="00D31375"/>
    <w:rsid w:val="00D31DE8"/>
    <w:rsid w:val="00D3284C"/>
    <w:rsid w:val="00D32C0D"/>
    <w:rsid w:val="00D33DB4"/>
    <w:rsid w:val="00D33EBC"/>
    <w:rsid w:val="00D3447E"/>
    <w:rsid w:val="00D345BF"/>
    <w:rsid w:val="00D34863"/>
    <w:rsid w:val="00D3593D"/>
    <w:rsid w:val="00D35F52"/>
    <w:rsid w:val="00D36FAC"/>
    <w:rsid w:val="00D37D57"/>
    <w:rsid w:val="00D37F13"/>
    <w:rsid w:val="00D404DE"/>
    <w:rsid w:val="00D4141B"/>
    <w:rsid w:val="00D41814"/>
    <w:rsid w:val="00D423E7"/>
    <w:rsid w:val="00D42640"/>
    <w:rsid w:val="00D43CF8"/>
    <w:rsid w:val="00D43E04"/>
    <w:rsid w:val="00D44D58"/>
    <w:rsid w:val="00D458F8"/>
    <w:rsid w:val="00D45C00"/>
    <w:rsid w:val="00D4624C"/>
    <w:rsid w:val="00D4625C"/>
    <w:rsid w:val="00D46401"/>
    <w:rsid w:val="00D5120A"/>
    <w:rsid w:val="00D515A2"/>
    <w:rsid w:val="00D534AA"/>
    <w:rsid w:val="00D5481C"/>
    <w:rsid w:val="00D54A80"/>
    <w:rsid w:val="00D5744C"/>
    <w:rsid w:val="00D5782D"/>
    <w:rsid w:val="00D63291"/>
    <w:rsid w:val="00D63A8D"/>
    <w:rsid w:val="00D65C53"/>
    <w:rsid w:val="00D65FAA"/>
    <w:rsid w:val="00D66326"/>
    <w:rsid w:val="00D6643D"/>
    <w:rsid w:val="00D6643E"/>
    <w:rsid w:val="00D67956"/>
    <w:rsid w:val="00D7012B"/>
    <w:rsid w:val="00D70714"/>
    <w:rsid w:val="00D715C8"/>
    <w:rsid w:val="00D71671"/>
    <w:rsid w:val="00D7293B"/>
    <w:rsid w:val="00D72C28"/>
    <w:rsid w:val="00D732E2"/>
    <w:rsid w:val="00D7426C"/>
    <w:rsid w:val="00D7474F"/>
    <w:rsid w:val="00D74C53"/>
    <w:rsid w:val="00D74D21"/>
    <w:rsid w:val="00D7500A"/>
    <w:rsid w:val="00D75109"/>
    <w:rsid w:val="00D75523"/>
    <w:rsid w:val="00D75FE8"/>
    <w:rsid w:val="00D761E1"/>
    <w:rsid w:val="00D76DE8"/>
    <w:rsid w:val="00D77BCF"/>
    <w:rsid w:val="00D800BE"/>
    <w:rsid w:val="00D801C7"/>
    <w:rsid w:val="00D80F92"/>
    <w:rsid w:val="00D811FB"/>
    <w:rsid w:val="00D8141F"/>
    <w:rsid w:val="00D820F7"/>
    <w:rsid w:val="00D82F26"/>
    <w:rsid w:val="00D83871"/>
    <w:rsid w:val="00D83EB2"/>
    <w:rsid w:val="00D84396"/>
    <w:rsid w:val="00D84F1F"/>
    <w:rsid w:val="00D850BC"/>
    <w:rsid w:val="00D85D96"/>
    <w:rsid w:val="00D86247"/>
    <w:rsid w:val="00D862EB"/>
    <w:rsid w:val="00D86366"/>
    <w:rsid w:val="00D90511"/>
    <w:rsid w:val="00D9101D"/>
    <w:rsid w:val="00D912D4"/>
    <w:rsid w:val="00D9165E"/>
    <w:rsid w:val="00D917DD"/>
    <w:rsid w:val="00D91DE7"/>
    <w:rsid w:val="00D91F2F"/>
    <w:rsid w:val="00D92900"/>
    <w:rsid w:val="00D93037"/>
    <w:rsid w:val="00D949DC"/>
    <w:rsid w:val="00D95130"/>
    <w:rsid w:val="00D9526C"/>
    <w:rsid w:val="00D964BD"/>
    <w:rsid w:val="00D966B0"/>
    <w:rsid w:val="00D97EC1"/>
    <w:rsid w:val="00DA14C1"/>
    <w:rsid w:val="00DA2084"/>
    <w:rsid w:val="00DA217C"/>
    <w:rsid w:val="00DA249F"/>
    <w:rsid w:val="00DA25C8"/>
    <w:rsid w:val="00DA2734"/>
    <w:rsid w:val="00DA2F92"/>
    <w:rsid w:val="00DA57A1"/>
    <w:rsid w:val="00DA5958"/>
    <w:rsid w:val="00DA5A35"/>
    <w:rsid w:val="00DA5DB7"/>
    <w:rsid w:val="00DA5F9D"/>
    <w:rsid w:val="00DA6EFB"/>
    <w:rsid w:val="00DA7471"/>
    <w:rsid w:val="00DA7EF7"/>
    <w:rsid w:val="00DB0A79"/>
    <w:rsid w:val="00DB2621"/>
    <w:rsid w:val="00DB51D4"/>
    <w:rsid w:val="00DB642D"/>
    <w:rsid w:val="00DB72B0"/>
    <w:rsid w:val="00DB7D58"/>
    <w:rsid w:val="00DB7E5F"/>
    <w:rsid w:val="00DC0E07"/>
    <w:rsid w:val="00DC12F9"/>
    <w:rsid w:val="00DC15B3"/>
    <w:rsid w:val="00DC1FDF"/>
    <w:rsid w:val="00DC32A6"/>
    <w:rsid w:val="00DC3851"/>
    <w:rsid w:val="00DC4FDD"/>
    <w:rsid w:val="00DC52AE"/>
    <w:rsid w:val="00DC5680"/>
    <w:rsid w:val="00DC74BF"/>
    <w:rsid w:val="00DC7814"/>
    <w:rsid w:val="00DD0C04"/>
    <w:rsid w:val="00DD1245"/>
    <w:rsid w:val="00DD1EB5"/>
    <w:rsid w:val="00DD229F"/>
    <w:rsid w:val="00DD2E74"/>
    <w:rsid w:val="00DD31D4"/>
    <w:rsid w:val="00DD3C75"/>
    <w:rsid w:val="00DD435E"/>
    <w:rsid w:val="00DD530A"/>
    <w:rsid w:val="00DD6279"/>
    <w:rsid w:val="00DD6F8E"/>
    <w:rsid w:val="00DD76F5"/>
    <w:rsid w:val="00DD7871"/>
    <w:rsid w:val="00DD7BD1"/>
    <w:rsid w:val="00DE0037"/>
    <w:rsid w:val="00DE011D"/>
    <w:rsid w:val="00DE18A6"/>
    <w:rsid w:val="00DE1AC7"/>
    <w:rsid w:val="00DE22D3"/>
    <w:rsid w:val="00DE27D9"/>
    <w:rsid w:val="00DE2C19"/>
    <w:rsid w:val="00DE2C9B"/>
    <w:rsid w:val="00DE3067"/>
    <w:rsid w:val="00DE3ED7"/>
    <w:rsid w:val="00DE4974"/>
    <w:rsid w:val="00DE4D03"/>
    <w:rsid w:val="00DE595C"/>
    <w:rsid w:val="00DE6E36"/>
    <w:rsid w:val="00DE7571"/>
    <w:rsid w:val="00DE7D60"/>
    <w:rsid w:val="00DF1939"/>
    <w:rsid w:val="00DF25C9"/>
    <w:rsid w:val="00DF2AC9"/>
    <w:rsid w:val="00DF2C2C"/>
    <w:rsid w:val="00DF3339"/>
    <w:rsid w:val="00DF39E7"/>
    <w:rsid w:val="00DF76BF"/>
    <w:rsid w:val="00DF7D7F"/>
    <w:rsid w:val="00E00AE0"/>
    <w:rsid w:val="00E0227C"/>
    <w:rsid w:val="00E026C6"/>
    <w:rsid w:val="00E05FF2"/>
    <w:rsid w:val="00E0624D"/>
    <w:rsid w:val="00E06F6C"/>
    <w:rsid w:val="00E101F2"/>
    <w:rsid w:val="00E105AB"/>
    <w:rsid w:val="00E127C2"/>
    <w:rsid w:val="00E12EE5"/>
    <w:rsid w:val="00E13C3B"/>
    <w:rsid w:val="00E13E4B"/>
    <w:rsid w:val="00E14AE2"/>
    <w:rsid w:val="00E14D45"/>
    <w:rsid w:val="00E14D72"/>
    <w:rsid w:val="00E15F86"/>
    <w:rsid w:val="00E163B3"/>
    <w:rsid w:val="00E16B6F"/>
    <w:rsid w:val="00E17634"/>
    <w:rsid w:val="00E179BD"/>
    <w:rsid w:val="00E20C33"/>
    <w:rsid w:val="00E20E71"/>
    <w:rsid w:val="00E21DF9"/>
    <w:rsid w:val="00E21E6D"/>
    <w:rsid w:val="00E22AC3"/>
    <w:rsid w:val="00E22AC9"/>
    <w:rsid w:val="00E22BBF"/>
    <w:rsid w:val="00E22E36"/>
    <w:rsid w:val="00E22E6B"/>
    <w:rsid w:val="00E23C4A"/>
    <w:rsid w:val="00E2549B"/>
    <w:rsid w:val="00E31D94"/>
    <w:rsid w:val="00E31F06"/>
    <w:rsid w:val="00E35FDF"/>
    <w:rsid w:val="00E36344"/>
    <w:rsid w:val="00E36AE7"/>
    <w:rsid w:val="00E3737F"/>
    <w:rsid w:val="00E3798E"/>
    <w:rsid w:val="00E40745"/>
    <w:rsid w:val="00E409BA"/>
    <w:rsid w:val="00E409FD"/>
    <w:rsid w:val="00E41658"/>
    <w:rsid w:val="00E41C57"/>
    <w:rsid w:val="00E43EBA"/>
    <w:rsid w:val="00E44ABB"/>
    <w:rsid w:val="00E45D6C"/>
    <w:rsid w:val="00E45EF0"/>
    <w:rsid w:val="00E45FBD"/>
    <w:rsid w:val="00E45FF5"/>
    <w:rsid w:val="00E47F48"/>
    <w:rsid w:val="00E50EA1"/>
    <w:rsid w:val="00E52151"/>
    <w:rsid w:val="00E52357"/>
    <w:rsid w:val="00E560EA"/>
    <w:rsid w:val="00E57B6D"/>
    <w:rsid w:val="00E60EBE"/>
    <w:rsid w:val="00E622F4"/>
    <w:rsid w:val="00E63B29"/>
    <w:rsid w:val="00E6489F"/>
    <w:rsid w:val="00E64F0C"/>
    <w:rsid w:val="00E6638A"/>
    <w:rsid w:val="00E66E7E"/>
    <w:rsid w:val="00E710E4"/>
    <w:rsid w:val="00E71D41"/>
    <w:rsid w:val="00E71E4B"/>
    <w:rsid w:val="00E71EE1"/>
    <w:rsid w:val="00E72F4B"/>
    <w:rsid w:val="00E741E0"/>
    <w:rsid w:val="00E7571B"/>
    <w:rsid w:val="00E760DC"/>
    <w:rsid w:val="00E7701F"/>
    <w:rsid w:val="00E771B8"/>
    <w:rsid w:val="00E7774B"/>
    <w:rsid w:val="00E77926"/>
    <w:rsid w:val="00E80858"/>
    <w:rsid w:val="00E80BEA"/>
    <w:rsid w:val="00E8293C"/>
    <w:rsid w:val="00E82F1C"/>
    <w:rsid w:val="00E849A8"/>
    <w:rsid w:val="00E84B78"/>
    <w:rsid w:val="00E8561E"/>
    <w:rsid w:val="00E858C8"/>
    <w:rsid w:val="00E85D74"/>
    <w:rsid w:val="00E863FF"/>
    <w:rsid w:val="00E866A7"/>
    <w:rsid w:val="00E87699"/>
    <w:rsid w:val="00E901D4"/>
    <w:rsid w:val="00E91054"/>
    <w:rsid w:val="00E914B4"/>
    <w:rsid w:val="00E9169E"/>
    <w:rsid w:val="00E91AD5"/>
    <w:rsid w:val="00E92954"/>
    <w:rsid w:val="00E92C33"/>
    <w:rsid w:val="00E93408"/>
    <w:rsid w:val="00E938EE"/>
    <w:rsid w:val="00E93D76"/>
    <w:rsid w:val="00E93EFC"/>
    <w:rsid w:val="00E95D43"/>
    <w:rsid w:val="00E97805"/>
    <w:rsid w:val="00EA0389"/>
    <w:rsid w:val="00EA0E2D"/>
    <w:rsid w:val="00EA1EAF"/>
    <w:rsid w:val="00EA2981"/>
    <w:rsid w:val="00EA2FCF"/>
    <w:rsid w:val="00EA4659"/>
    <w:rsid w:val="00EA46BC"/>
    <w:rsid w:val="00EA4925"/>
    <w:rsid w:val="00EA4A18"/>
    <w:rsid w:val="00EA615C"/>
    <w:rsid w:val="00EA6EA0"/>
    <w:rsid w:val="00EA6FD2"/>
    <w:rsid w:val="00EB070F"/>
    <w:rsid w:val="00EB09C8"/>
    <w:rsid w:val="00EB12CF"/>
    <w:rsid w:val="00EB12E6"/>
    <w:rsid w:val="00EB1AA6"/>
    <w:rsid w:val="00EB33B3"/>
    <w:rsid w:val="00EB4162"/>
    <w:rsid w:val="00EB4B64"/>
    <w:rsid w:val="00EB5F78"/>
    <w:rsid w:val="00EB755E"/>
    <w:rsid w:val="00EB7FA1"/>
    <w:rsid w:val="00EC023F"/>
    <w:rsid w:val="00EC04D0"/>
    <w:rsid w:val="00EC0588"/>
    <w:rsid w:val="00EC14BB"/>
    <w:rsid w:val="00EC1C2B"/>
    <w:rsid w:val="00EC230E"/>
    <w:rsid w:val="00EC31FA"/>
    <w:rsid w:val="00EC3421"/>
    <w:rsid w:val="00EC3D7D"/>
    <w:rsid w:val="00EC4225"/>
    <w:rsid w:val="00EC4392"/>
    <w:rsid w:val="00EC4495"/>
    <w:rsid w:val="00EC4F1F"/>
    <w:rsid w:val="00EC69C8"/>
    <w:rsid w:val="00EC71BB"/>
    <w:rsid w:val="00ED03B0"/>
    <w:rsid w:val="00ED09B3"/>
    <w:rsid w:val="00ED0F1C"/>
    <w:rsid w:val="00ED118B"/>
    <w:rsid w:val="00ED151B"/>
    <w:rsid w:val="00ED19BB"/>
    <w:rsid w:val="00ED22F5"/>
    <w:rsid w:val="00ED31E3"/>
    <w:rsid w:val="00ED34D2"/>
    <w:rsid w:val="00ED3A7B"/>
    <w:rsid w:val="00ED455A"/>
    <w:rsid w:val="00ED58ED"/>
    <w:rsid w:val="00ED5F9F"/>
    <w:rsid w:val="00ED6B39"/>
    <w:rsid w:val="00ED728C"/>
    <w:rsid w:val="00ED7E26"/>
    <w:rsid w:val="00EE0277"/>
    <w:rsid w:val="00EE1AE5"/>
    <w:rsid w:val="00EE1B41"/>
    <w:rsid w:val="00EE1EF2"/>
    <w:rsid w:val="00EE2E65"/>
    <w:rsid w:val="00EE30B8"/>
    <w:rsid w:val="00EE45E9"/>
    <w:rsid w:val="00EE5137"/>
    <w:rsid w:val="00EE6499"/>
    <w:rsid w:val="00EE66BC"/>
    <w:rsid w:val="00EE786E"/>
    <w:rsid w:val="00EE7EAB"/>
    <w:rsid w:val="00EF0A33"/>
    <w:rsid w:val="00EF0AEA"/>
    <w:rsid w:val="00EF2286"/>
    <w:rsid w:val="00EF537A"/>
    <w:rsid w:val="00EF581F"/>
    <w:rsid w:val="00EF5AA5"/>
    <w:rsid w:val="00F003CE"/>
    <w:rsid w:val="00F00461"/>
    <w:rsid w:val="00F02544"/>
    <w:rsid w:val="00F0447A"/>
    <w:rsid w:val="00F04B75"/>
    <w:rsid w:val="00F055C8"/>
    <w:rsid w:val="00F05699"/>
    <w:rsid w:val="00F05D07"/>
    <w:rsid w:val="00F0727A"/>
    <w:rsid w:val="00F101D0"/>
    <w:rsid w:val="00F11AEC"/>
    <w:rsid w:val="00F11EBA"/>
    <w:rsid w:val="00F123DA"/>
    <w:rsid w:val="00F1264C"/>
    <w:rsid w:val="00F129AF"/>
    <w:rsid w:val="00F12F2D"/>
    <w:rsid w:val="00F13887"/>
    <w:rsid w:val="00F143F5"/>
    <w:rsid w:val="00F1445D"/>
    <w:rsid w:val="00F1477C"/>
    <w:rsid w:val="00F153E0"/>
    <w:rsid w:val="00F16CA7"/>
    <w:rsid w:val="00F178DE"/>
    <w:rsid w:val="00F17E22"/>
    <w:rsid w:val="00F2042B"/>
    <w:rsid w:val="00F2053D"/>
    <w:rsid w:val="00F20596"/>
    <w:rsid w:val="00F2098A"/>
    <w:rsid w:val="00F21684"/>
    <w:rsid w:val="00F21882"/>
    <w:rsid w:val="00F21A81"/>
    <w:rsid w:val="00F21E12"/>
    <w:rsid w:val="00F22C4D"/>
    <w:rsid w:val="00F2310A"/>
    <w:rsid w:val="00F23B45"/>
    <w:rsid w:val="00F25B8E"/>
    <w:rsid w:val="00F26DCF"/>
    <w:rsid w:val="00F278DE"/>
    <w:rsid w:val="00F27B06"/>
    <w:rsid w:val="00F31100"/>
    <w:rsid w:val="00F31285"/>
    <w:rsid w:val="00F31D7A"/>
    <w:rsid w:val="00F33197"/>
    <w:rsid w:val="00F33AF0"/>
    <w:rsid w:val="00F33D65"/>
    <w:rsid w:val="00F345AE"/>
    <w:rsid w:val="00F3488C"/>
    <w:rsid w:val="00F348EA"/>
    <w:rsid w:val="00F355B4"/>
    <w:rsid w:val="00F35BC9"/>
    <w:rsid w:val="00F36483"/>
    <w:rsid w:val="00F364F6"/>
    <w:rsid w:val="00F36D5E"/>
    <w:rsid w:val="00F410C5"/>
    <w:rsid w:val="00F412B7"/>
    <w:rsid w:val="00F41568"/>
    <w:rsid w:val="00F41629"/>
    <w:rsid w:val="00F449B2"/>
    <w:rsid w:val="00F44A9C"/>
    <w:rsid w:val="00F4524A"/>
    <w:rsid w:val="00F45824"/>
    <w:rsid w:val="00F4680F"/>
    <w:rsid w:val="00F4717E"/>
    <w:rsid w:val="00F500E5"/>
    <w:rsid w:val="00F50597"/>
    <w:rsid w:val="00F506D1"/>
    <w:rsid w:val="00F50D06"/>
    <w:rsid w:val="00F5125F"/>
    <w:rsid w:val="00F513FC"/>
    <w:rsid w:val="00F5164B"/>
    <w:rsid w:val="00F516E2"/>
    <w:rsid w:val="00F5189D"/>
    <w:rsid w:val="00F51B22"/>
    <w:rsid w:val="00F51B80"/>
    <w:rsid w:val="00F522DA"/>
    <w:rsid w:val="00F5234B"/>
    <w:rsid w:val="00F526F3"/>
    <w:rsid w:val="00F535A5"/>
    <w:rsid w:val="00F54199"/>
    <w:rsid w:val="00F54525"/>
    <w:rsid w:val="00F552BB"/>
    <w:rsid w:val="00F554B9"/>
    <w:rsid w:val="00F557DA"/>
    <w:rsid w:val="00F561EF"/>
    <w:rsid w:val="00F568B0"/>
    <w:rsid w:val="00F57394"/>
    <w:rsid w:val="00F60CC5"/>
    <w:rsid w:val="00F615E0"/>
    <w:rsid w:val="00F6178D"/>
    <w:rsid w:val="00F618D8"/>
    <w:rsid w:val="00F6296B"/>
    <w:rsid w:val="00F629FA"/>
    <w:rsid w:val="00F62A5D"/>
    <w:rsid w:val="00F62E9E"/>
    <w:rsid w:val="00F630A9"/>
    <w:rsid w:val="00F63F1C"/>
    <w:rsid w:val="00F640C3"/>
    <w:rsid w:val="00F6507B"/>
    <w:rsid w:val="00F66144"/>
    <w:rsid w:val="00F6637E"/>
    <w:rsid w:val="00F7034A"/>
    <w:rsid w:val="00F71A05"/>
    <w:rsid w:val="00F71C39"/>
    <w:rsid w:val="00F72D84"/>
    <w:rsid w:val="00F73A77"/>
    <w:rsid w:val="00F73E77"/>
    <w:rsid w:val="00F750F8"/>
    <w:rsid w:val="00F76020"/>
    <w:rsid w:val="00F762F9"/>
    <w:rsid w:val="00F769BD"/>
    <w:rsid w:val="00F76B40"/>
    <w:rsid w:val="00F76EAB"/>
    <w:rsid w:val="00F802D4"/>
    <w:rsid w:val="00F805EB"/>
    <w:rsid w:val="00F81F95"/>
    <w:rsid w:val="00F82393"/>
    <w:rsid w:val="00F828BF"/>
    <w:rsid w:val="00F83040"/>
    <w:rsid w:val="00F83A3B"/>
    <w:rsid w:val="00F840A3"/>
    <w:rsid w:val="00F856D6"/>
    <w:rsid w:val="00F86B22"/>
    <w:rsid w:val="00F87165"/>
    <w:rsid w:val="00F879B9"/>
    <w:rsid w:val="00F87D1C"/>
    <w:rsid w:val="00F91128"/>
    <w:rsid w:val="00F9201B"/>
    <w:rsid w:val="00F92A16"/>
    <w:rsid w:val="00F92B7C"/>
    <w:rsid w:val="00F948B7"/>
    <w:rsid w:val="00F950F0"/>
    <w:rsid w:val="00F96D73"/>
    <w:rsid w:val="00F96F72"/>
    <w:rsid w:val="00F97749"/>
    <w:rsid w:val="00FA20DB"/>
    <w:rsid w:val="00FA2A6F"/>
    <w:rsid w:val="00FA389B"/>
    <w:rsid w:val="00FA3D92"/>
    <w:rsid w:val="00FA41D4"/>
    <w:rsid w:val="00FA43B0"/>
    <w:rsid w:val="00FA46CC"/>
    <w:rsid w:val="00FA4B50"/>
    <w:rsid w:val="00FA4E4D"/>
    <w:rsid w:val="00FA4FD3"/>
    <w:rsid w:val="00FA4FDE"/>
    <w:rsid w:val="00FA505B"/>
    <w:rsid w:val="00FA5CE0"/>
    <w:rsid w:val="00FA6A36"/>
    <w:rsid w:val="00FA6C8D"/>
    <w:rsid w:val="00FA70F1"/>
    <w:rsid w:val="00FB0DE1"/>
    <w:rsid w:val="00FB1B74"/>
    <w:rsid w:val="00FB2072"/>
    <w:rsid w:val="00FB2341"/>
    <w:rsid w:val="00FB2747"/>
    <w:rsid w:val="00FB2A42"/>
    <w:rsid w:val="00FB37F8"/>
    <w:rsid w:val="00FB42B8"/>
    <w:rsid w:val="00FB444C"/>
    <w:rsid w:val="00FB51BF"/>
    <w:rsid w:val="00FB53FE"/>
    <w:rsid w:val="00FB5484"/>
    <w:rsid w:val="00FB5B37"/>
    <w:rsid w:val="00FB5EF1"/>
    <w:rsid w:val="00FB677F"/>
    <w:rsid w:val="00FB749A"/>
    <w:rsid w:val="00FC2AB5"/>
    <w:rsid w:val="00FC2D56"/>
    <w:rsid w:val="00FC2FA7"/>
    <w:rsid w:val="00FC3FC5"/>
    <w:rsid w:val="00FC5813"/>
    <w:rsid w:val="00FC5A3C"/>
    <w:rsid w:val="00FC6526"/>
    <w:rsid w:val="00FC6575"/>
    <w:rsid w:val="00FC72A0"/>
    <w:rsid w:val="00FC72A9"/>
    <w:rsid w:val="00FD121C"/>
    <w:rsid w:val="00FD1841"/>
    <w:rsid w:val="00FD1A05"/>
    <w:rsid w:val="00FD2A5A"/>
    <w:rsid w:val="00FD2B89"/>
    <w:rsid w:val="00FD342A"/>
    <w:rsid w:val="00FD349B"/>
    <w:rsid w:val="00FD3BE1"/>
    <w:rsid w:val="00FD45C3"/>
    <w:rsid w:val="00FD586A"/>
    <w:rsid w:val="00FD73DE"/>
    <w:rsid w:val="00FE0162"/>
    <w:rsid w:val="00FE0422"/>
    <w:rsid w:val="00FE06DC"/>
    <w:rsid w:val="00FE0E49"/>
    <w:rsid w:val="00FE1276"/>
    <w:rsid w:val="00FE171F"/>
    <w:rsid w:val="00FE1934"/>
    <w:rsid w:val="00FE33A7"/>
    <w:rsid w:val="00FE35AA"/>
    <w:rsid w:val="00FE623E"/>
    <w:rsid w:val="00FE66B5"/>
    <w:rsid w:val="00FE6871"/>
    <w:rsid w:val="00FE7583"/>
    <w:rsid w:val="00FE794B"/>
    <w:rsid w:val="00FE7EF9"/>
    <w:rsid w:val="00FF1076"/>
    <w:rsid w:val="00FF1E4F"/>
    <w:rsid w:val="00FF2970"/>
    <w:rsid w:val="00FF2EA1"/>
    <w:rsid w:val="00FF3517"/>
    <w:rsid w:val="00FF3D78"/>
    <w:rsid w:val="00FF4010"/>
    <w:rsid w:val="00FF41EB"/>
    <w:rsid w:val="00FF57E5"/>
    <w:rsid w:val="00FF5BA5"/>
    <w:rsid w:val="00FF5EF8"/>
    <w:rsid w:val="00FF658D"/>
    <w:rsid w:val="00FF66D9"/>
    <w:rsid w:val="00FF6ECF"/>
    <w:rsid w:val="00FF7D4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10E4A69-CE43-40F5-9BA6-441D9E2D5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08A"/>
    <w:rPr>
      <w:sz w:val="24"/>
      <w:szCs w:val="24"/>
      <w:lang w:eastAsia="zh-CN"/>
    </w:rPr>
  </w:style>
  <w:style w:type="paragraph" w:styleId="Heading1">
    <w:name w:val="heading 1"/>
    <w:basedOn w:val="Normal"/>
    <w:next w:val="Normal"/>
    <w:link w:val="Heading1Char"/>
    <w:qFormat/>
    <w:pPr>
      <w:keepNext/>
      <w:outlineLvl w:val="0"/>
    </w:pPr>
    <w:rPr>
      <w:rFonts w:ascii="Arial Narrow" w:hAnsi="Arial Narrow"/>
      <w:b/>
      <w:sz w:val="20"/>
    </w:rPr>
  </w:style>
  <w:style w:type="paragraph" w:styleId="Heading2">
    <w:name w:val="heading 2"/>
    <w:basedOn w:val="Normal"/>
    <w:next w:val="Normal"/>
    <w:qFormat/>
    <w:pPr>
      <w:keepNext/>
      <w:jc w:val="center"/>
      <w:outlineLvl w:val="1"/>
    </w:pPr>
    <w:rPr>
      <w:rFonts w:ascii="Arial" w:hAnsi="Arial"/>
      <w:b/>
      <w:sz w:val="20"/>
    </w:rPr>
  </w:style>
  <w:style w:type="paragraph" w:styleId="Heading3">
    <w:name w:val="heading 3"/>
    <w:basedOn w:val="Normal"/>
    <w:next w:val="Normal"/>
    <w:qFormat/>
    <w:pPr>
      <w:keepNext/>
      <w:jc w:val="center"/>
      <w:outlineLvl w:val="2"/>
    </w:pPr>
    <w:rPr>
      <w:rFonts w:ascii="Arial Narrow" w:hAnsi="Arial Narrow"/>
      <w:b/>
    </w:rPr>
  </w:style>
  <w:style w:type="paragraph" w:styleId="Heading4">
    <w:name w:val="heading 4"/>
    <w:basedOn w:val="Normal"/>
    <w:next w:val="Normal"/>
    <w:qFormat/>
    <w:pPr>
      <w:keepNext/>
      <w:outlineLvl w:val="3"/>
    </w:pPr>
    <w:rPr>
      <w:rFonts w:ascii="Bookman Old Style" w:hAnsi="Bookman Old Style"/>
      <w:b/>
      <w:outline/>
      <w:color w:val="000000"/>
      <w:w w:val="60"/>
      <w:sz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703"/>
        <w:tab w:val="right" w:pos="9406"/>
      </w:tabs>
    </w:pPr>
  </w:style>
  <w:style w:type="character" w:styleId="PageNumber">
    <w:name w:val="page number"/>
    <w:basedOn w:val="DefaultParagraphFont"/>
  </w:style>
  <w:style w:type="character" w:styleId="FootnoteReference">
    <w:name w:val="footnote reference"/>
    <w:semiHidden/>
    <w:rPr>
      <w:vertAlign w:val="superscript"/>
    </w:rPr>
  </w:style>
  <w:style w:type="paragraph" w:styleId="FootnoteText">
    <w:name w:val="footnote text"/>
    <w:basedOn w:val="Normal"/>
    <w:link w:val="FootnoteTextChar"/>
    <w:semiHidden/>
    <w:rPr>
      <w:sz w:val="20"/>
      <w:szCs w:val="20"/>
    </w:rPr>
  </w:style>
  <w:style w:type="paragraph" w:styleId="Header">
    <w:name w:val="header"/>
    <w:basedOn w:val="Normal"/>
    <w:pPr>
      <w:tabs>
        <w:tab w:val="center" w:pos="4320"/>
        <w:tab w:val="right" w:pos="8640"/>
      </w:tabs>
    </w:pPr>
  </w:style>
  <w:style w:type="paragraph" w:styleId="Title">
    <w:name w:val="Title"/>
    <w:basedOn w:val="Normal"/>
    <w:qFormat/>
    <w:pPr>
      <w:ind w:left="180"/>
      <w:jc w:val="center"/>
    </w:pPr>
    <w:rPr>
      <w:b/>
      <w:sz w:val="28"/>
    </w:rPr>
  </w:style>
  <w:style w:type="paragraph" w:styleId="BodyText">
    <w:name w:val="Body Text"/>
    <w:basedOn w:val="Normal"/>
    <w:link w:val="BodyTextChar"/>
    <w:pPr>
      <w:jc w:val="both"/>
    </w:pPr>
  </w:style>
  <w:style w:type="paragraph" w:styleId="BodyTextIndent">
    <w:name w:val="Body Text Indent"/>
    <w:basedOn w:val="Normal"/>
    <w:link w:val="BodyTextIndentChar"/>
    <w:pPr>
      <w:ind w:firstLine="708"/>
      <w:jc w:val="both"/>
    </w:pPr>
  </w:style>
  <w:style w:type="paragraph" w:customStyle="1" w:styleId="ReturnAddress">
    <w:name w:val="Return Address"/>
    <w:basedOn w:val="Normal"/>
    <w:pPr>
      <w:keepLines/>
      <w:framePr w:w="2160" w:h="1195" w:wrap="notBeside" w:vAnchor="page" w:hAnchor="margin" w:xAlign="right" w:y="678" w:anchorLock="1"/>
      <w:spacing w:line="220" w:lineRule="atLeast"/>
    </w:pPr>
    <w:rPr>
      <w:rFonts w:eastAsia="Times New Roman"/>
      <w:sz w:val="16"/>
      <w:lang w:val="en-US"/>
    </w:rPr>
  </w:style>
  <w:style w:type="paragraph" w:styleId="DocumentMap">
    <w:name w:val="Document Map"/>
    <w:basedOn w:val="Normal"/>
    <w:semiHidden/>
    <w:pPr>
      <w:shd w:val="clear" w:color="auto" w:fill="000080"/>
    </w:pPr>
    <w:rPr>
      <w:rFonts w:ascii="Tahoma" w:hAnsi="Tahoma"/>
    </w:rPr>
  </w:style>
  <w:style w:type="character" w:styleId="Strong">
    <w:name w:val="Strong"/>
    <w:qFormat/>
    <w:rPr>
      <w:b/>
    </w:rPr>
  </w:style>
  <w:style w:type="paragraph" w:customStyle="1" w:styleId="DocumentLabel">
    <w:name w:val="Document Label"/>
    <w:basedOn w:val="Normal"/>
    <w:next w:val="BodyText"/>
    <w:pPr>
      <w:keepNext/>
      <w:keepLines/>
      <w:spacing w:before="160" w:line="220" w:lineRule="atLeast"/>
    </w:pPr>
    <w:rPr>
      <w:rFonts w:eastAsia="Times New Roman"/>
      <w:spacing w:val="-30"/>
      <w:kern w:val="28"/>
      <w:sz w:val="60"/>
      <w:lang w:val="en-US"/>
    </w:rPr>
  </w:style>
  <w:style w:type="paragraph" w:styleId="BodyTextIndent2">
    <w:name w:val="Body Text Indent 2"/>
    <w:basedOn w:val="Normal"/>
    <w:pPr>
      <w:ind w:firstLine="706"/>
      <w:jc w:val="both"/>
    </w:pPr>
  </w:style>
  <w:style w:type="paragraph" w:styleId="BodyTextIndent3">
    <w:name w:val="Body Text Indent 3"/>
    <w:basedOn w:val="Normal"/>
    <w:pPr>
      <w:ind w:firstLine="708"/>
      <w:jc w:val="both"/>
    </w:pPr>
    <w:rPr>
      <w:sz w:val="26"/>
    </w:rPr>
  </w:style>
  <w:style w:type="paragraph" w:styleId="BodyText2">
    <w:name w:val="Body Text 2"/>
    <w:basedOn w:val="Normal"/>
    <w:pPr>
      <w:jc w:val="both"/>
    </w:pPr>
    <w:rPr>
      <w:sz w:val="26"/>
    </w:rPr>
  </w:style>
  <w:style w:type="paragraph" w:styleId="BodyText3">
    <w:name w:val="Body Text 3"/>
    <w:basedOn w:val="Normal"/>
    <w:pPr>
      <w:jc w:val="both"/>
    </w:pPr>
    <w:rPr>
      <w:rFonts w:ascii="HebarU" w:hAnsi="HebarU"/>
      <w:sz w:val="22"/>
    </w:rPr>
  </w:style>
  <w:style w:type="paragraph" w:styleId="BalloonText">
    <w:name w:val="Balloon Text"/>
    <w:basedOn w:val="Normal"/>
    <w:semiHidden/>
    <w:rsid w:val="0016390E"/>
    <w:rPr>
      <w:rFonts w:ascii="Tahoma" w:hAnsi="Tahoma" w:cs="Tahoma"/>
      <w:sz w:val="16"/>
      <w:szCs w:val="16"/>
    </w:rPr>
  </w:style>
  <w:style w:type="paragraph" w:styleId="Caption">
    <w:name w:val="caption"/>
    <w:basedOn w:val="Normal"/>
    <w:next w:val="Normal"/>
    <w:qFormat/>
    <w:rsid w:val="0066289E"/>
    <w:pPr>
      <w:spacing w:before="120" w:after="120"/>
    </w:pPr>
    <w:rPr>
      <w:b/>
      <w:bCs/>
      <w:sz w:val="20"/>
      <w:szCs w:val="20"/>
    </w:rPr>
  </w:style>
  <w:style w:type="paragraph" w:styleId="Subtitle">
    <w:name w:val="Subtitle"/>
    <w:basedOn w:val="Title"/>
    <w:next w:val="BodyText"/>
    <w:qFormat/>
    <w:rsid w:val="00206C73"/>
    <w:pPr>
      <w:keepNext/>
      <w:keepLines/>
      <w:spacing w:after="160" w:line="400" w:lineRule="atLeast"/>
      <w:ind w:left="1080" w:right="2160"/>
      <w:jc w:val="left"/>
    </w:pPr>
    <w:rPr>
      <w:rFonts w:eastAsia="Times New Roman"/>
      <w:b w:val="0"/>
      <w:i/>
      <w:spacing w:val="-14"/>
      <w:kern w:val="28"/>
      <w:sz w:val="34"/>
      <w:szCs w:val="20"/>
      <w:lang w:val="en-GB" w:eastAsia="en-US"/>
    </w:rPr>
  </w:style>
  <w:style w:type="table" w:styleId="TableGrid">
    <w:name w:val="Table Grid"/>
    <w:basedOn w:val="TableNormal"/>
    <w:rsid w:val="00160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
    <w:name w:val="Char Char1 Char Char Char Знак Char Char Знак Char Char Char Char Char Знак Char Char Char Char Char Char Char Char Char Знак Char Char Char Char Char Знак"/>
    <w:basedOn w:val="Normal"/>
    <w:semiHidden/>
    <w:rsid w:val="00B82F01"/>
    <w:pPr>
      <w:tabs>
        <w:tab w:val="left" w:pos="709"/>
      </w:tabs>
    </w:pPr>
    <w:rPr>
      <w:rFonts w:ascii="Futura Bk" w:eastAsia="Times New Roman" w:hAnsi="Futura Bk"/>
      <w:sz w:val="20"/>
      <w:lang w:val="pl-PL" w:eastAsia="pl-PL"/>
    </w:rPr>
  </w:style>
  <w:style w:type="paragraph" w:customStyle="1" w:styleId="a">
    <w:name w:val="Знак Знак"/>
    <w:basedOn w:val="Normal"/>
    <w:semiHidden/>
    <w:rsid w:val="007006B6"/>
    <w:pPr>
      <w:tabs>
        <w:tab w:val="left" w:pos="709"/>
      </w:tabs>
    </w:pPr>
    <w:rPr>
      <w:rFonts w:ascii="Futura Bk" w:eastAsia="Times New Roman" w:hAnsi="Futura Bk"/>
      <w:sz w:val="20"/>
      <w:lang w:val="pl-PL" w:eastAsia="pl-PL"/>
    </w:rPr>
  </w:style>
  <w:style w:type="paragraph" w:styleId="NormalWeb">
    <w:name w:val="Normal (Web)"/>
    <w:basedOn w:val="Normal"/>
    <w:rsid w:val="00C012FD"/>
    <w:pPr>
      <w:spacing w:before="100" w:beforeAutospacing="1" w:after="100" w:afterAutospacing="1"/>
    </w:pPr>
    <w:rPr>
      <w:rFonts w:eastAsia="Times New Roman"/>
      <w:lang w:eastAsia="bg-BG"/>
    </w:rPr>
  </w:style>
  <w:style w:type="table" w:styleId="Table3Deffects3">
    <w:name w:val="Table 3D effects 3"/>
    <w:basedOn w:val="TableNormal"/>
    <w:rsid w:val="00C012FD"/>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3">
    <w:name w:val="Table Web 3"/>
    <w:basedOn w:val="TableNormal"/>
    <w:rsid w:val="00C012FD"/>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rsid w:val="00C012FD"/>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C012FD"/>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earchhighlight1">
    <w:name w:val="searchhighlight1"/>
    <w:rsid w:val="00C012FD"/>
    <w:rPr>
      <w:b/>
      <w:bCs/>
      <w:color w:val="FF0000"/>
      <w:u w:val="single"/>
    </w:rPr>
  </w:style>
  <w:style w:type="table" w:styleId="TableColumns3">
    <w:name w:val="Table Columns 3"/>
    <w:basedOn w:val="TableNormal"/>
    <w:rsid w:val="00464AD2"/>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CharChar">
    <w:name w:val="Знак Знак Char Char Знак Знак"/>
    <w:basedOn w:val="Normal"/>
    <w:semiHidden/>
    <w:rsid w:val="0055610A"/>
    <w:pPr>
      <w:tabs>
        <w:tab w:val="left" w:pos="709"/>
      </w:tabs>
    </w:pPr>
    <w:rPr>
      <w:rFonts w:ascii="Futura Bk" w:eastAsia="Times New Roman" w:hAnsi="Futura Bk"/>
      <w:sz w:val="20"/>
      <w:lang w:val="pl-PL" w:eastAsia="pl-PL"/>
    </w:rPr>
  </w:style>
  <w:style w:type="paragraph" w:styleId="TOC1">
    <w:name w:val="toc 1"/>
    <w:basedOn w:val="Normal"/>
    <w:next w:val="Normal"/>
    <w:autoRedefine/>
    <w:uiPriority w:val="39"/>
    <w:rsid w:val="0083758C"/>
    <w:pPr>
      <w:tabs>
        <w:tab w:val="left" w:pos="540"/>
        <w:tab w:val="right" w:leader="dot" w:pos="9713"/>
      </w:tabs>
      <w:spacing w:line="360" w:lineRule="auto"/>
    </w:pPr>
  </w:style>
  <w:style w:type="paragraph" w:styleId="TOC2">
    <w:name w:val="toc 2"/>
    <w:basedOn w:val="Normal"/>
    <w:next w:val="Normal"/>
    <w:autoRedefine/>
    <w:uiPriority w:val="39"/>
    <w:rsid w:val="00E85D74"/>
    <w:pPr>
      <w:ind w:left="240"/>
    </w:pPr>
  </w:style>
  <w:style w:type="paragraph" w:styleId="TOC3">
    <w:name w:val="toc 3"/>
    <w:basedOn w:val="Normal"/>
    <w:next w:val="Normal"/>
    <w:autoRedefine/>
    <w:uiPriority w:val="39"/>
    <w:rsid w:val="006F4C8C"/>
    <w:pPr>
      <w:tabs>
        <w:tab w:val="left" w:pos="1080"/>
        <w:tab w:val="right" w:leader="dot" w:pos="9713"/>
      </w:tabs>
      <w:spacing w:after="120"/>
      <w:ind w:left="480"/>
    </w:pPr>
  </w:style>
  <w:style w:type="character" w:styleId="Hyperlink">
    <w:name w:val="Hyperlink"/>
    <w:uiPriority w:val="99"/>
    <w:rsid w:val="00E85D74"/>
    <w:rPr>
      <w:color w:val="0000FF"/>
      <w:u w:val="single"/>
    </w:rPr>
  </w:style>
  <w:style w:type="paragraph" w:customStyle="1" w:styleId="CharCharCharCharCharChar">
    <w:name w:val="Знак Знак Char Char Знак Знак Char Char Знак Знак Char Char Знак Знак"/>
    <w:basedOn w:val="Normal"/>
    <w:semiHidden/>
    <w:rsid w:val="002A6674"/>
    <w:pPr>
      <w:tabs>
        <w:tab w:val="left" w:pos="709"/>
      </w:tabs>
    </w:pPr>
    <w:rPr>
      <w:rFonts w:ascii="Futura Bk" w:eastAsia="Times New Roman" w:hAnsi="Futura Bk"/>
      <w:sz w:val="20"/>
      <w:lang w:val="pl-PL" w:eastAsia="pl-PL"/>
    </w:rPr>
  </w:style>
  <w:style w:type="paragraph" w:customStyle="1" w:styleId="CharCharCharCharCharCharCharChar">
    <w:name w:val="Знак Знак Char Char Знак Знак Char Char Знак Знак Char Char Знак Знак Char Char Знак Знак"/>
    <w:basedOn w:val="Normal"/>
    <w:semiHidden/>
    <w:rsid w:val="007E1FCA"/>
    <w:pPr>
      <w:tabs>
        <w:tab w:val="left" w:pos="709"/>
      </w:tabs>
    </w:pPr>
    <w:rPr>
      <w:rFonts w:ascii="Futura Bk" w:eastAsia="Times New Roman" w:hAnsi="Futura Bk"/>
      <w:sz w:val="20"/>
      <w:lang w:val="pl-PL" w:eastAsia="pl-PL"/>
    </w:rPr>
  </w:style>
  <w:style w:type="table" w:styleId="TableSimple1">
    <w:name w:val="Table Simple 1"/>
    <w:basedOn w:val="TableNormal"/>
    <w:rsid w:val="000D6E0A"/>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List1">
    <w:name w:val="Table List 1"/>
    <w:basedOn w:val="TableNormal"/>
    <w:rsid w:val="00B97C1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CharCharCharCharCharCharCharCharCharCharCharCharCharChar">
    <w:name w:val="Знак Знак Char Char Знак Знак Char Char Знак Знак Char Char Знак Знак Char Char Знак Знак Char Char Char Char Char Char Char Char"/>
    <w:basedOn w:val="Normal"/>
    <w:semiHidden/>
    <w:rsid w:val="00693124"/>
    <w:pPr>
      <w:tabs>
        <w:tab w:val="left" w:pos="709"/>
      </w:tabs>
    </w:pPr>
    <w:rPr>
      <w:rFonts w:ascii="Futura Bk" w:eastAsia="Times New Roman" w:hAnsi="Futura Bk"/>
      <w:sz w:val="20"/>
      <w:lang w:val="pl-PL" w:eastAsia="pl-PL"/>
    </w:rPr>
  </w:style>
  <w:style w:type="paragraph" w:customStyle="1" w:styleId="CharCharCharCharCharCharCharCharCharCharCharCharCharChar">
    <w:name w:val="Знак Знак Char Char Знак Знак Char Char Знак Знак Char Char Знак Знак Char Char Знак Знак Char Char Char Char Char Char"/>
    <w:basedOn w:val="Normal"/>
    <w:semiHidden/>
    <w:rsid w:val="00AA50D1"/>
    <w:pPr>
      <w:tabs>
        <w:tab w:val="left" w:pos="709"/>
      </w:tabs>
    </w:pPr>
    <w:rPr>
      <w:rFonts w:ascii="Futura Bk" w:eastAsia="Times New Roman" w:hAnsi="Futura Bk"/>
      <w:sz w:val="20"/>
      <w:lang w:val="pl-PL" w:eastAsia="pl-PL"/>
    </w:rPr>
  </w:style>
  <w:style w:type="paragraph" w:customStyle="1" w:styleId="CharCharCharCharCharChar0">
    <w:name w:val="Char Char Char Char Char Char"/>
    <w:basedOn w:val="Normal"/>
    <w:semiHidden/>
    <w:rsid w:val="00935045"/>
    <w:pPr>
      <w:tabs>
        <w:tab w:val="left" w:pos="709"/>
      </w:tabs>
    </w:pPr>
    <w:rPr>
      <w:rFonts w:ascii="Futura Bk" w:eastAsia="Times New Roman" w:hAnsi="Futura Bk"/>
      <w:sz w:val="20"/>
      <w:lang w:val="pl-PL" w:eastAsia="pl-PL"/>
    </w:rPr>
  </w:style>
  <w:style w:type="paragraph" w:customStyle="1" w:styleId="CharCharCharCharCharCharCharCharCharCharCharCharCharCharCharCharCharCharCharChar">
    <w:name w:val="Знак Знак Char Char Знак Знак Char Char Знак Знак Char Char Знак Знак Char Char Знак Знак Char Char Char Char Char Char Char Char Char Char Char Char"/>
    <w:basedOn w:val="Normal"/>
    <w:semiHidden/>
    <w:rsid w:val="00935045"/>
    <w:pPr>
      <w:tabs>
        <w:tab w:val="left" w:pos="709"/>
      </w:tabs>
    </w:pPr>
    <w:rPr>
      <w:rFonts w:ascii="Futura Bk" w:eastAsia="Times New Roman" w:hAnsi="Futura Bk"/>
      <w:sz w:val="20"/>
      <w:lang w:val="pl-PL" w:eastAsia="pl-PL"/>
    </w:rPr>
  </w:style>
  <w:style w:type="table" w:styleId="TableContemporary">
    <w:name w:val="Table Contemporary"/>
    <w:basedOn w:val="TableNormal"/>
    <w:rsid w:val="00693F7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harCharCharCharCharCharCharCharCharCharCharCharCharCharCharCharCharCharCharCharCharChar">
    <w:name w:val="Знак Знак Char Char Знак Знак Char Char Знак Знак Char Char Знак Знак Char Char Знак Знак Char Char Char Char Char Char Char Char Char Char Char Char Char Char"/>
    <w:basedOn w:val="Normal"/>
    <w:semiHidden/>
    <w:rsid w:val="00666881"/>
    <w:pPr>
      <w:tabs>
        <w:tab w:val="left" w:pos="709"/>
      </w:tabs>
    </w:pPr>
    <w:rPr>
      <w:rFonts w:ascii="Futura Bk" w:eastAsia="Times New Roman" w:hAnsi="Futura Bk"/>
      <w:sz w:val="20"/>
      <w:lang w:val="pl-PL" w:eastAsia="pl-PL"/>
    </w:rPr>
  </w:style>
  <w:style w:type="paragraph" w:customStyle="1" w:styleId="CharCharCharChar">
    <w:name w:val="Char Char Char Char"/>
    <w:basedOn w:val="Normal"/>
    <w:semiHidden/>
    <w:rsid w:val="00160D26"/>
    <w:pPr>
      <w:tabs>
        <w:tab w:val="left" w:pos="709"/>
      </w:tabs>
    </w:pPr>
    <w:rPr>
      <w:rFonts w:ascii="Futura Bk" w:eastAsia="Times New Roman" w:hAnsi="Futura Bk"/>
      <w:sz w:val="20"/>
      <w:lang w:val="pl-PL" w:eastAsia="pl-PL"/>
    </w:rPr>
  </w:style>
  <w:style w:type="paragraph" w:customStyle="1" w:styleId="CharCharCharCharCharCharCharCharCharCharCharCharCharCharCharCharCharCharCharCharCharCharCharCharCharChar">
    <w:name w:val="Знак Знак Char Char Знак Знак Char Char Знак Знак Char Char Знак Знак Char Char Знак Знак Char Char Char Char Char Char Char Char Char Char Char Char Char Char Char Char Char Char"/>
    <w:basedOn w:val="Normal"/>
    <w:semiHidden/>
    <w:rsid w:val="006A543D"/>
    <w:pPr>
      <w:tabs>
        <w:tab w:val="left" w:pos="709"/>
      </w:tabs>
    </w:pPr>
    <w:rPr>
      <w:rFonts w:ascii="Futura Bk" w:eastAsia="Times New Roman" w:hAnsi="Futura Bk"/>
      <w:sz w:val="20"/>
      <w:lang w:val="pl-PL" w:eastAsia="pl-PL"/>
    </w:rPr>
  </w:style>
  <w:style w:type="paragraph" w:customStyle="1" w:styleId="CharCharCharCharCharCharCharChar0">
    <w:name w:val="Знак Знак Char Char Знак Знак Char Char Знак Знак Char Char Char Char"/>
    <w:basedOn w:val="Normal"/>
    <w:semiHidden/>
    <w:rsid w:val="00874FE5"/>
    <w:pPr>
      <w:tabs>
        <w:tab w:val="left" w:pos="709"/>
      </w:tabs>
    </w:pPr>
    <w:rPr>
      <w:rFonts w:ascii="Futura Bk" w:eastAsia="Times New Roman" w:hAnsi="Futura Bk"/>
      <w:sz w:val="20"/>
      <w:lang w:val="pl-PL" w:eastAsia="pl-PL"/>
    </w:rPr>
  </w:style>
  <w:style w:type="paragraph" w:customStyle="1" w:styleId="CharCharCharChar0">
    <w:name w:val="Знак Знак Char Char Знак Знак Char Char Знак Знак"/>
    <w:basedOn w:val="Normal"/>
    <w:semiHidden/>
    <w:rsid w:val="00F802D4"/>
    <w:pPr>
      <w:tabs>
        <w:tab w:val="left" w:pos="709"/>
      </w:tabs>
    </w:pPr>
    <w:rPr>
      <w:rFonts w:ascii="Futura Bk" w:eastAsia="Times New Roman" w:hAnsi="Futura Bk"/>
      <w:sz w:val="20"/>
      <w:lang w:val="pl-PL" w:eastAsia="pl-PL"/>
    </w:rPr>
  </w:style>
  <w:style w:type="character" w:customStyle="1" w:styleId="BodyTextIndentChar">
    <w:name w:val="Body Text Indent Char"/>
    <w:link w:val="BodyTextIndent"/>
    <w:rsid w:val="00590290"/>
    <w:rPr>
      <w:sz w:val="24"/>
      <w:szCs w:val="24"/>
      <w:lang w:eastAsia="zh-CN"/>
    </w:rPr>
  </w:style>
  <w:style w:type="character" w:customStyle="1" w:styleId="Heading1Char">
    <w:name w:val="Heading 1 Char"/>
    <w:link w:val="Heading1"/>
    <w:rsid w:val="00FA5CE0"/>
    <w:rPr>
      <w:rFonts w:ascii="Arial Narrow" w:hAnsi="Arial Narrow"/>
      <w:b/>
      <w:szCs w:val="24"/>
      <w:lang w:eastAsia="zh-CN"/>
    </w:rPr>
  </w:style>
  <w:style w:type="character" w:customStyle="1" w:styleId="FootnoteTextChar">
    <w:name w:val="Footnote Text Char"/>
    <w:link w:val="FootnoteText"/>
    <w:semiHidden/>
    <w:rsid w:val="00FA5CE0"/>
    <w:rPr>
      <w:lang w:eastAsia="zh-CN"/>
    </w:rPr>
  </w:style>
  <w:style w:type="paragraph" w:styleId="TOCHeading">
    <w:name w:val="TOC Heading"/>
    <w:basedOn w:val="Heading1"/>
    <w:next w:val="Normal"/>
    <w:uiPriority w:val="39"/>
    <w:semiHidden/>
    <w:unhideWhenUsed/>
    <w:qFormat/>
    <w:rsid w:val="001A2DC3"/>
    <w:pPr>
      <w:keepLines/>
      <w:spacing w:before="480" w:line="276" w:lineRule="auto"/>
      <w:outlineLvl w:val="9"/>
    </w:pPr>
    <w:rPr>
      <w:rFonts w:ascii="Cambria" w:eastAsia="MS Gothic" w:hAnsi="Cambria"/>
      <w:bCs/>
      <w:color w:val="365F91"/>
      <w:sz w:val="28"/>
      <w:szCs w:val="28"/>
      <w:lang w:val="en-US" w:eastAsia="ja-JP"/>
    </w:rPr>
  </w:style>
  <w:style w:type="paragraph" w:customStyle="1" w:styleId="1">
    <w:name w:val="1"/>
    <w:basedOn w:val="Normal"/>
    <w:semiHidden/>
    <w:rsid w:val="00760855"/>
    <w:pPr>
      <w:tabs>
        <w:tab w:val="left" w:pos="709"/>
      </w:tabs>
    </w:pPr>
    <w:rPr>
      <w:rFonts w:ascii="Futura Bk" w:eastAsia="Times New Roman" w:hAnsi="Futura Bk"/>
      <w:sz w:val="20"/>
      <w:lang w:val="pl-PL" w:eastAsia="pl-PL"/>
    </w:rPr>
  </w:style>
  <w:style w:type="table" w:styleId="TableList7">
    <w:name w:val="Table List 7"/>
    <w:basedOn w:val="TableNormal"/>
    <w:rsid w:val="005E724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BodyTextChar">
    <w:name w:val="Body Text Char"/>
    <w:link w:val="BodyText"/>
    <w:rsid w:val="00B25FBA"/>
    <w:rPr>
      <w:sz w:val="24"/>
      <w:szCs w:val="24"/>
      <w:lang w:eastAsia="zh-CN"/>
    </w:rPr>
  </w:style>
  <w:style w:type="character" w:styleId="CommentReference">
    <w:name w:val="annotation reference"/>
    <w:rsid w:val="0066269C"/>
    <w:rPr>
      <w:sz w:val="16"/>
      <w:szCs w:val="16"/>
    </w:rPr>
  </w:style>
  <w:style w:type="paragraph" w:styleId="CommentText">
    <w:name w:val="annotation text"/>
    <w:basedOn w:val="Normal"/>
    <w:link w:val="CommentTextChar"/>
    <w:rsid w:val="0066269C"/>
    <w:rPr>
      <w:sz w:val="20"/>
      <w:szCs w:val="20"/>
    </w:rPr>
  </w:style>
  <w:style w:type="character" w:customStyle="1" w:styleId="CommentTextChar">
    <w:name w:val="Comment Text Char"/>
    <w:link w:val="CommentText"/>
    <w:rsid w:val="0066269C"/>
    <w:rPr>
      <w:lang w:eastAsia="zh-CN"/>
    </w:rPr>
  </w:style>
  <w:style w:type="paragraph" w:styleId="CommentSubject">
    <w:name w:val="annotation subject"/>
    <w:basedOn w:val="CommentText"/>
    <w:next w:val="CommentText"/>
    <w:link w:val="CommentSubjectChar"/>
    <w:rsid w:val="0066269C"/>
    <w:rPr>
      <w:b/>
      <w:bCs/>
    </w:rPr>
  </w:style>
  <w:style w:type="character" w:customStyle="1" w:styleId="CommentSubjectChar">
    <w:name w:val="Comment Subject Char"/>
    <w:link w:val="CommentSubject"/>
    <w:rsid w:val="0066269C"/>
    <w:rPr>
      <w:b/>
      <w:bCs/>
      <w:lang w:eastAsia="zh-CN"/>
    </w:rPr>
  </w:style>
  <w:style w:type="paragraph" w:styleId="ListParagraph">
    <w:name w:val="List Paragraph"/>
    <w:basedOn w:val="Normal"/>
    <w:qFormat/>
    <w:rsid w:val="006A52D1"/>
    <w:pPr>
      <w:ind w:left="720"/>
      <w:contextualSpacing/>
    </w:pPr>
  </w:style>
  <w:style w:type="paragraph" w:styleId="IntenseQuote">
    <w:name w:val="Intense Quote"/>
    <w:basedOn w:val="Normal"/>
    <w:next w:val="Normal"/>
    <w:link w:val="IntenseQuoteChar"/>
    <w:uiPriority w:val="30"/>
    <w:qFormat/>
    <w:rsid w:val="00D21D9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21D98"/>
    <w:rPr>
      <w:i/>
      <w:iCs/>
      <w:color w:val="4472C4" w:themeColor="accent1"/>
      <w:sz w:val="24"/>
      <w:szCs w:val="24"/>
      <w:lang w:eastAsia="zh-CN"/>
    </w:rPr>
  </w:style>
  <w:style w:type="character" w:styleId="Emphasis">
    <w:name w:val="Emphasis"/>
    <w:basedOn w:val="DefaultParagraphFont"/>
    <w:qFormat/>
    <w:rsid w:val="00D21D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51587">
      <w:bodyDiv w:val="1"/>
      <w:marLeft w:val="0"/>
      <w:marRight w:val="0"/>
      <w:marTop w:val="0"/>
      <w:marBottom w:val="0"/>
      <w:divBdr>
        <w:top w:val="none" w:sz="0" w:space="0" w:color="auto"/>
        <w:left w:val="none" w:sz="0" w:space="0" w:color="auto"/>
        <w:bottom w:val="none" w:sz="0" w:space="0" w:color="auto"/>
        <w:right w:val="none" w:sz="0" w:space="0" w:color="auto"/>
      </w:divBdr>
    </w:div>
    <w:div w:id="184751819">
      <w:bodyDiv w:val="1"/>
      <w:marLeft w:val="0"/>
      <w:marRight w:val="0"/>
      <w:marTop w:val="0"/>
      <w:marBottom w:val="0"/>
      <w:divBdr>
        <w:top w:val="none" w:sz="0" w:space="0" w:color="auto"/>
        <w:left w:val="none" w:sz="0" w:space="0" w:color="auto"/>
        <w:bottom w:val="none" w:sz="0" w:space="0" w:color="auto"/>
        <w:right w:val="none" w:sz="0" w:space="0" w:color="auto"/>
      </w:divBdr>
    </w:div>
    <w:div w:id="222447158">
      <w:bodyDiv w:val="1"/>
      <w:marLeft w:val="0"/>
      <w:marRight w:val="0"/>
      <w:marTop w:val="0"/>
      <w:marBottom w:val="0"/>
      <w:divBdr>
        <w:top w:val="none" w:sz="0" w:space="0" w:color="auto"/>
        <w:left w:val="none" w:sz="0" w:space="0" w:color="auto"/>
        <w:bottom w:val="none" w:sz="0" w:space="0" w:color="auto"/>
        <w:right w:val="none" w:sz="0" w:space="0" w:color="auto"/>
      </w:divBdr>
    </w:div>
    <w:div w:id="389808941">
      <w:bodyDiv w:val="1"/>
      <w:marLeft w:val="0"/>
      <w:marRight w:val="0"/>
      <w:marTop w:val="0"/>
      <w:marBottom w:val="0"/>
      <w:divBdr>
        <w:top w:val="none" w:sz="0" w:space="0" w:color="auto"/>
        <w:left w:val="none" w:sz="0" w:space="0" w:color="auto"/>
        <w:bottom w:val="none" w:sz="0" w:space="0" w:color="auto"/>
        <w:right w:val="none" w:sz="0" w:space="0" w:color="auto"/>
      </w:divBdr>
    </w:div>
    <w:div w:id="433016077">
      <w:bodyDiv w:val="1"/>
      <w:marLeft w:val="0"/>
      <w:marRight w:val="0"/>
      <w:marTop w:val="0"/>
      <w:marBottom w:val="0"/>
      <w:divBdr>
        <w:top w:val="none" w:sz="0" w:space="0" w:color="auto"/>
        <w:left w:val="none" w:sz="0" w:space="0" w:color="auto"/>
        <w:bottom w:val="none" w:sz="0" w:space="0" w:color="auto"/>
        <w:right w:val="none" w:sz="0" w:space="0" w:color="auto"/>
      </w:divBdr>
    </w:div>
    <w:div w:id="437262296">
      <w:bodyDiv w:val="1"/>
      <w:marLeft w:val="0"/>
      <w:marRight w:val="0"/>
      <w:marTop w:val="0"/>
      <w:marBottom w:val="0"/>
      <w:divBdr>
        <w:top w:val="none" w:sz="0" w:space="0" w:color="auto"/>
        <w:left w:val="none" w:sz="0" w:space="0" w:color="auto"/>
        <w:bottom w:val="none" w:sz="0" w:space="0" w:color="auto"/>
        <w:right w:val="none" w:sz="0" w:space="0" w:color="auto"/>
      </w:divBdr>
    </w:div>
    <w:div w:id="453136861">
      <w:bodyDiv w:val="1"/>
      <w:marLeft w:val="0"/>
      <w:marRight w:val="0"/>
      <w:marTop w:val="0"/>
      <w:marBottom w:val="0"/>
      <w:divBdr>
        <w:top w:val="none" w:sz="0" w:space="0" w:color="auto"/>
        <w:left w:val="none" w:sz="0" w:space="0" w:color="auto"/>
        <w:bottom w:val="none" w:sz="0" w:space="0" w:color="auto"/>
        <w:right w:val="none" w:sz="0" w:space="0" w:color="auto"/>
      </w:divBdr>
    </w:div>
    <w:div w:id="563181656">
      <w:bodyDiv w:val="1"/>
      <w:marLeft w:val="0"/>
      <w:marRight w:val="0"/>
      <w:marTop w:val="0"/>
      <w:marBottom w:val="0"/>
      <w:divBdr>
        <w:top w:val="none" w:sz="0" w:space="0" w:color="auto"/>
        <w:left w:val="none" w:sz="0" w:space="0" w:color="auto"/>
        <w:bottom w:val="none" w:sz="0" w:space="0" w:color="auto"/>
        <w:right w:val="none" w:sz="0" w:space="0" w:color="auto"/>
      </w:divBdr>
    </w:div>
    <w:div w:id="575626989">
      <w:bodyDiv w:val="1"/>
      <w:marLeft w:val="0"/>
      <w:marRight w:val="0"/>
      <w:marTop w:val="0"/>
      <w:marBottom w:val="0"/>
      <w:divBdr>
        <w:top w:val="none" w:sz="0" w:space="0" w:color="auto"/>
        <w:left w:val="none" w:sz="0" w:space="0" w:color="auto"/>
        <w:bottom w:val="none" w:sz="0" w:space="0" w:color="auto"/>
        <w:right w:val="none" w:sz="0" w:space="0" w:color="auto"/>
      </w:divBdr>
    </w:div>
    <w:div w:id="794520493">
      <w:bodyDiv w:val="1"/>
      <w:marLeft w:val="0"/>
      <w:marRight w:val="0"/>
      <w:marTop w:val="0"/>
      <w:marBottom w:val="0"/>
      <w:divBdr>
        <w:top w:val="none" w:sz="0" w:space="0" w:color="auto"/>
        <w:left w:val="none" w:sz="0" w:space="0" w:color="auto"/>
        <w:bottom w:val="none" w:sz="0" w:space="0" w:color="auto"/>
        <w:right w:val="none" w:sz="0" w:space="0" w:color="auto"/>
      </w:divBdr>
    </w:div>
    <w:div w:id="874198545">
      <w:bodyDiv w:val="1"/>
      <w:marLeft w:val="0"/>
      <w:marRight w:val="0"/>
      <w:marTop w:val="0"/>
      <w:marBottom w:val="0"/>
      <w:divBdr>
        <w:top w:val="none" w:sz="0" w:space="0" w:color="auto"/>
        <w:left w:val="none" w:sz="0" w:space="0" w:color="auto"/>
        <w:bottom w:val="none" w:sz="0" w:space="0" w:color="auto"/>
        <w:right w:val="none" w:sz="0" w:space="0" w:color="auto"/>
      </w:divBdr>
    </w:div>
    <w:div w:id="888498546">
      <w:bodyDiv w:val="1"/>
      <w:marLeft w:val="0"/>
      <w:marRight w:val="0"/>
      <w:marTop w:val="0"/>
      <w:marBottom w:val="0"/>
      <w:divBdr>
        <w:top w:val="none" w:sz="0" w:space="0" w:color="auto"/>
        <w:left w:val="none" w:sz="0" w:space="0" w:color="auto"/>
        <w:bottom w:val="none" w:sz="0" w:space="0" w:color="auto"/>
        <w:right w:val="none" w:sz="0" w:space="0" w:color="auto"/>
      </w:divBdr>
    </w:div>
    <w:div w:id="921179692">
      <w:bodyDiv w:val="1"/>
      <w:marLeft w:val="0"/>
      <w:marRight w:val="0"/>
      <w:marTop w:val="0"/>
      <w:marBottom w:val="0"/>
      <w:divBdr>
        <w:top w:val="none" w:sz="0" w:space="0" w:color="auto"/>
        <w:left w:val="none" w:sz="0" w:space="0" w:color="auto"/>
        <w:bottom w:val="none" w:sz="0" w:space="0" w:color="auto"/>
        <w:right w:val="none" w:sz="0" w:space="0" w:color="auto"/>
      </w:divBdr>
    </w:div>
    <w:div w:id="934442857">
      <w:bodyDiv w:val="1"/>
      <w:marLeft w:val="0"/>
      <w:marRight w:val="0"/>
      <w:marTop w:val="0"/>
      <w:marBottom w:val="0"/>
      <w:divBdr>
        <w:top w:val="none" w:sz="0" w:space="0" w:color="auto"/>
        <w:left w:val="none" w:sz="0" w:space="0" w:color="auto"/>
        <w:bottom w:val="none" w:sz="0" w:space="0" w:color="auto"/>
        <w:right w:val="none" w:sz="0" w:space="0" w:color="auto"/>
      </w:divBdr>
    </w:div>
    <w:div w:id="1042443269">
      <w:bodyDiv w:val="1"/>
      <w:marLeft w:val="0"/>
      <w:marRight w:val="0"/>
      <w:marTop w:val="0"/>
      <w:marBottom w:val="0"/>
      <w:divBdr>
        <w:top w:val="none" w:sz="0" w:space="0" w:color="auto"/>
        <w:left w:val="none" w:sz="0" w:space="0" w:color="auto"/>
        <w:bottom w:val="none" w:sz="0" w:space="0" w:color="auto"/>
        <w:right w:val="none" w:sz="0" w:space="0" w:color="auto"/>
      </w:divBdr>
    </w:div>
    <w:div w:id="1096514992">
      <w:bodyDiv w:val="1"/>
      <w:marLeft w:val="0"/>
      <w:marRight w:val="0"/>
      <w:marTop w:val="0"/>
      <w:marBottom w:val="0"/>
      <w:divBdr>
        <w:top w:val="none" w:sz="0" w:space="0" w:color="auto"/>
        <w:left w:val="none" w:sz="0" w:space="0" w:color="auto"/>
        <w:bottom w:val="none" w:sz="0" w:space="0" w:color="auto"/>
        <w:right w:val="none" w:sz="0" w:space="0" w:color="auto"/>
      </w:divBdr>
    </w:div>
    <w:div w:id="1144204737">
      <w:bodyDiv w:val="1"/>
      <w:marLeft w:val="0"/>
      <w:marRight w:val="0"/>
      <w:marTop w:val="0"/>
      <w:marBottom w:val="0"/>
      <w:divBdr>
        <w:top w:val="none" w:sz="0" w:space="0" w:color="auto"/>
        <w:left w:val="none" w:sz="0" w:space="0" w:color="auto"/>
        <w:bottom w:val="none" w:sz="0" w:space="0" w:color="auto"/>
        <w:right w:val="none" w:sz="0" w:space="0" w:color="auto"/>
      </w:divBdr>
    </w:div>
    <w:div w:id="1354722884">
      <w:bodyDiv w:val="1"/>
      <w:marLeft w:val="0"/>
      <w:marRight w:val="0"/>
      <w:marTop w:val="0"/>
      <w:marBottom w:val="0"/>
      <w:divBdr>
        <w:top w:val="none" w:sz="0" w:space="0" w:color="auto"/>
        <w:left w:val="none" w:sz="0" w:space="0" w:color="auto"/>
        <w:bottom w:val="none" w:sz="0" w:space="0" w:color="auto"/>
        <w:right w:val="none" w:sz="0" w:space="0" w:color="auto"/>
      </w:divBdr>
    </w:div>
    <w:div w:id="1440373322">
      <w:bodyDiv w:val="1"/>
      <w:marLeft w:val="0"/>
      <w:marRight w:val="0"/>
      <w:marTop w:val="0"/>
      <w:marBottom w:val="0"/>
      <w:divBdr>
        <w:top w:val="none" w:sz="0" w:space="0" w:color="auto"/>
        <w:left w:val="none" w:sz="0" w:space="0" w:color="auto"/>
        <w:bottom w:val="none" w:sz="0" w:space="0" w:color="auto"/>
        <w:right w:val="none" w:sz="0" w:space="0" w:color="auto"/>
      </w:divBdr>
    </w:div>
    <w:div w:id="1618489213">
      <w:bodyDiv w:val="1"/>
      <w:marLeft w:val="0"/>
      <w:marRight w:val="0"/>
      <w:marTop w:val="0"/>
      <w:marBottom w:val="0"/>
      <w:divBdr>
        <w:top w:val="none" w:sz="0" w:space="0" w:color="auto"/>
        <w:left w:val="none" w:sz="0" w:space="0" w:color="auto"/>
        <w:bottom w:val="none" w:sz="0" w:space="0" w:color="auto"/>
        <w:right w:val="none" w:sz="0" w:space="0" w:color="auto"/>
      </w:divBdr>
    </w:div>
    <w:div w:id="1645230609">
      <w:bodyDiv w:val="1"/>
      <w:marLeft w:val="0"/>
      <w:marRight w:val="0"/>
      <w:marTop w:val="0"/>
      <w:marBottom w:val="0"/>
      <w:divBdr>
        <w:top w:val="none" w:sz="0" w:space="0" w:color="auto"/>
        <w:left w:val="none" w:sz="0" w:space="0" w:color="auto"/>
        <w:bottom w:val="none" w:sz="0" w:space="0" w:color="auto"/>
        <w:right w:val="none" w:sz="0" w:space="0" w:color="auto"/>
      </w:divBdr>
    </w:div>
    <w:div w:id="1662156426">
      <w:bodyDiv w:val="1"/>
      <w:marLeft w:val="0"/>
      <w:marRight w:val="0"/>
      <w:marTop w:val="0"/>
      <w:marBottom w:val="0"/>
      <w:divBdr>
        <w:top w:val="none" w:sz="0" w:space="0" w:color="auto"/>
        <w:left w:val="none" w:sz="0" w:space="0" w:color="auto"/>
        <w:bottom w:val="none" w:sz="0" w:space="0" w:color="auto"/>
        <w:right w:val="none" w:sz="0" w:space="0" w:color="auto"/>
      </w:divBdr>
    </w:div>
    <w:div w:id="1822690413">
      <w:bodyDiv w:val="1"/>
      <w:marLeft w:val="0"/>
      <w:marRight w:val="0"/>
      <w:marTop w:val="0"/>
      <w:marBottom w:val="0"/>
      <w:divBdr>
        <w:top w:val="none" w:sz="0" w:space="0" w:color="auto"/>
        <w:left w:val="none" w:sz="0" w:space="0" w:color="auto"/>
        <w:bottom w:val="none" w:sz="0" w:space="0" w:color="auto"/>
        <w:right w:val="none" w:sz="0" w:space="0" w:color="auto"/>
      </w:divBdr>
    </w:div>
    <w:div w:id="1855921297">
      <w:bodyDiv w:val="1"/>
      <w:marLeft w:val="0"/>
      <w:marRight w:val="0"/>
      <w:marTop w:val="0"/>
      <w:marBottom w:val="0"/>
      <w:divBdr>
        <w:top w:val="none" w:sz="0" w:space="0" w:color="auto"/>
        <w:left w:val="none" w:sz="0" w:space="0" w:color="auto"/>
        <w:bottom w:val="none" w:sz="0" w:space="0" w:color="auto"/>
        <w:right w:val="none" w:sz="0" w:space="0" w:color="auto"/>
      </w:divBdr>
      <w:divsChild>
        <w:div w:id="1172571396">
          <w:marLeft w:val="547"/>
          <w:marRight w:val="0"/>
          <w:marTop w:val="0"/>
          <w:marBottom w:val="0"/>
          <w:divBdr>
            <w:top w:val="none" w:sz="0" w:space="0" w:color="auto"/>
            <w:left w:val="none" w:sz="0" w:space="0" w:color="auto"/>
            <w:bottom w:val="none" w:sz="0" w:space="0" w:color="auto"/>
            <w:right w:val="none" w:sz="0" w:space="0" w:color="auto"/>
          </w:divBdr>
        </w:div>
        <w:div w:id="1452438773">
          <w:marLeft w:val="547"/>
          <w:marRight w:val="0"/>
          <w:marTop w:val="0"/>
          <w:marBottom w:val="0"/>
          <w:divBdr>
            <w:top w:val="none" w:sz="0" w:space="0" w:color="auto"/>
            <w:left w:val="none" w:sz="0" w:space="0" w:color="auto"/>
            <w:bottom w:val="none" w:sz="0" w:space="0" w:color="auto"/>
            <w:right w:val="none" w:sz="0" w:space="0" w:color="auto"/>
          </w:divBdr>
        </w:div>
        <w:div w:id="1588494241">
          <w:marLeft w:val="547"/>
          <w:marRight w:val="0"/>
          <w:marTop w:val="0"/>
          <w:marBottom w:val="0"/>
          <w:divBdr>
            <w:top w:val="none" w:sz="0" w:space="0" w:color="auto"/>
            <w:left w:val="none" w:sz="0" w:space="0" w:color="auto"/>
            <w:bottom w:val="none" w:sz="0" w:space="0" w:color="auto"/>
            <w:right w:val="none" w:sz="0" w:space="0" w:color="auto"/>
          </w:divBdr>
        </w:div>
        <w:div w:id="1974434444">
          <w:marLeft w:val="547"/>
          <w:marRight w:val="0"/>
          <w:marTop w:val="0"/>
          <w:marBottom w:val="0"/>
          <w:divBdr>
            <w:top w:val="none" w:sz="0" w:space="0" w:color="auto"/>
            <w:left w:val="none" w:sz="0" w:space="0" w:color="auto"/>
            <w:bottom w:val="none" w:sz="0" w:space="0" w:color="auto"/>
            <w:right w:val="none" w:sz="0" w:space="0" w:color="auto"/>
          </w:divBdr>
        </w:div>
      </w:divsChild>
    </w:div>
    <w:div w:id="2016836485">
      <w:bodyDiv w:val="1"/>
      <w:marLeft w:val="0"/>
      <w:marRight w:val="0"/>
      <w:marTop w:val="0"/>
      <w:marBottom w:val="0"/>
      <w:divBdr>
        <w:top w:val="none" w:sz="0" w:space="0" w:color="auto"/>
        <w:left w:val="none" w:sz="0" w:space="0" w:color="auto"/>
        <w:bottom w:val="none" w:sz="0" w:space="0" w:color="auto"/>
        <w:right w:val="none" w:sz="0" w:space="0" w:color="auto"/>
      </w:divBdr>
    </w:div>
    <w:div w:id="209389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hart" Target="charts/chart5.xml"/><Relationship Id="rId22" Type="http://schemas.openxmlformats.org/officeDocument/2006/relationships/oleObject" Target="embeddings/Microsoft_Excel_97-2003_Worksheet.xls"/><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5.JPG"/><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192.168.0.231\pk-ruse\Analizi\2019\&#1047;&#1072;%20&#1043;&#1060;&#1054;%202019\Tables_GFO_2018.xlsx" TargetMode="External"/><Relationship Id="rId2" Type="http://schemas.microsoft.com/office/2011/relationships/chartColorStyle" Target="colors3.xml"/><Relationship Id="rId1" Type="http://schemas.microsoft.com/office/2011/relationships/chartStyle" Target="style3.xml"/></Relationships>
</file>

<file path=word/charts/_rels/chart11.xml.rels><?xml version="1.0" encoding="UTF-8" standalone="yes"?>
<Relationships xmlns="http://schemas.openxmlformats.org/package/2006/relationships"><Relationship Id="rId3" Type="http://schemas.openxmlformats.org/officeDocument/2006/relationships/oleObject" Target="file:///\\192.168.0.231\pk-ruse\Analizi\2019\&#1047;&#1072;%20&#1043;&#1060;&#1054;%202019\Tables_GFO_2018.xlsx" TargetMode="External"/><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6.jp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oleObject" Target="file:///\\192.168.0.231\pk-ruse\Analizi\2018\&#1047;&#1072;%20&#1043;&#1060;&#1054;%202018\Tables_GFO_2018.xlsx"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3" Type="http://schemas.openxmlformats.org/officeDocument/2006/relationships/oleObject" Target="file:///\\192.168.0.231\pk-ruse\Analizi\2019\&#1047;&#1072;%20&#1043;&#1060;&#1054;%202019\Tables_GFO_201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50" baseline="0">
                <a:solidFill>
                  <a:sysClr val="windowText" lastClr="000000"/>
                </a:solidFill>
                <a:latin typeface="+mn-lt"/>
                <a:ea typeface="+mn-ea"/>
                <a:cs typeface="+mn-cs"/>
              </a:defRPr>
            </a:pPr>
            <a:r>
              <a:rPr lang="bg-BG" sz="1200" cap="none" baseline="0">
                <a:solidFill>
                  <a:sysClr val="windowText" lastClr="000000"/>
                </a:solidFill>
              </a:rPr>
              <a:t>ТОВАРООБОРОТ 201</a:t>
            </a:r>
            <a:r>
              <a:rPr lang="en-US" sz="1200" cap="none" baseline="0">
                <a:solidFill>
                  <a:sysClr val="windowText" lastClr="000000"/>
                </a:solidFill>
              </a:rPr>
              <a:t>9</a:t>
            </a:r>
            <a:r>
              <a:rPr lang="bg-BG" sz="1200" cap="none" baseline="0">
                <a:solidFill>
                  <a:sysClr val="windowText" lastClr="000000"/>
                </a:solidFill>
              </a:rPr>
              <a:t>г.</a:t>
            </a:r>
          </a:p>
          <a:p>
            <a:pPr>
              <a:defRPr sz="1200" b="1" i="0" u="none" strike="noStrike" kern="1200" cap="none" spc="50" baseline="0">
                <a:solidFill>
                  <a:sysClr val="windowText" lastClr="000000"/>
                </a:solidFill>
                <a:latin typeface="+mn-lt"/>
                <a:ea typeface="+mn-ea"/>
                <a:cs typeface="+mn-cs"/>
              </a:defRPr>
            </a:pPr>
            <a:r>
              <a:rPr lang="bg-BG" sz="1200" b="0" cap="none" baseline="0">
                <a:solidFill>
                  <a:sysClr val="windowText" lastClr="000000"/>
                </a:solidFill>
              </a:rPr>
              <a:t>/по месеци/</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946961186605229E-2"/>
          <c:y val="0.1344215207520425"/>
          <c:w val="0.87895005540925641"/>
          <c:h val="0.68847026493215302"/>
        </c:manualLayout>
      </c:layout>
      <c:bar3DChart>
        <c:barDir val="col"/>
        <c:grouping val="clustered"/>
        <c:varyColors val="0"/>
        <c:ser>
          <c:idx val="0"/>
          <c:order val="0"/>
          <c:tx>
            <c:strRef>
              <c:f>'[Таблици-ГФО-Анализ Търг.част.xlsx]Лист1'!$B$33</c:f>
              <c:strCache>
                <c:ptCount val="1"/>
                <c:pt idx="0">
                  <c:v>2019</c:v>
                </c:pt>
              </c:strCache>
            </c:strRef>
          </c:tx>
          <c:spPr>
            <a:gradFill>
              <a:gsLst>
                <a:gs pos="100000">
                  <a:schemeClr val="accent1">
                    <a:alpha val="0"/>
                  </a:schemeClr>
                </a:gs>
                <a:gs pos="50000">
                  <a:schemeClr val="accent1"/>
                </a:gs>
              </a:gsLst>
              <a:lin ang="5400000" scaled="0"/>
            </a:gradFill>
            <a:ln>
              <a:solidFill>
                <a:schemeClr val="accent1">
                  <a:lumMod val="75000"/>
                </a:schemeClr>
              </a:solidFill>
            </a:ln>
            <a:effectLst/>
            <a:sp3d>
              <a:contourClr>
                <a:schemeClr val="accent1">
                  <a:lumMod val="75000"/>
                </a:schemeClr>
              </a:contourClr>
            </a:sp3d>
          </c:spPr>
          <c:invertIfNegative val="0"/>
          <c:cat>
            <c:strRef>
              <c:f>'[Таблици-ГФО-Анализ Търг.част.xlsx]Лист1'!$A$34:$A$45</c:f>
              <c:strCache>
                <c:ptCount val="12"/>
                <c:pt idx="0">
                  <c:v>Януари</c:v>
                </c:pt>
                <c:pt idx="1">
                  <c:v>Февруари</c:v>
                </c:pt>
                <c:pt idx="2">
                  <c:v>Март</c:v>
                </c:pt>
                <c:pt idx="3">
                  <c:v>Април</c:v>
                </c:pt>
                <c:pt idx="4">
                  <c:v>Май</c:v>
                </c:pt>
                <c:pt idx="5">
                  <c:v>Юни</c:v>
                </c:pt>
                <c:pt idx="6">
                  <c:v>Юли</c:v>
                </c:pt>
                <c:pt idx="7">
                  <c:v>Август</c:v>
                </c:pt>
                <c:pt idx="8">
                  <c:v>Септември</c:v>
                </c:pt>
                <c:pt idx="9">
                  <c:v>Октомври</c:v>
                </c:pt>
                <c:pt idx="10">
                  <c:v>Ноември</c:v>
                </c:pt>
                <c:pt idx="11">
                  <c:v>Декември</c:v>
                </c:pt>
              </c:strCache>
            </c:strRef>
          </c:cat>
          <c:val>
            <c:numRef>
              <c:f>'[Таблици-ГФО-Анализ Търг.част.xlsx]Лист1'!$B$34:$B$45</c:f>
              <c:numCache>
                <c:formatCode>#,##0</c:formatCode>
                <c:ptCount val="12"/>
                <c:pt idx="0">
                  <c:v>46875</c:v>
                </c:pt>
                <c:pt idx="1">
                  <c:v>33784</c:v>
                </c:pt>
                <c:pt idx="2">
                  <c:v>31146</c:v>
                </c:pt>
                <c:pt idx="3">
                  <c:v>22479</c:v>
                </c:pt>
                <c:pt idx="4">
                  <c:v>37853</c:v>
                </c:pt>
                <c:pt idx="5">
                  <c:v>43807</c:v>
                </c:pt>
                <c:pt idx="6">
                  <c:v>36869</c:v>
                </c:pt>
                <c:pt idx="7">
                  <c:v>47865</c:v>
                </c:pt>
                <c:pt idx="8">
                  <c:v>39958</c:v>
                </c:pt>
                <c:pt idx="9">
                  <c:v>52064</c:v>
                </c:pt>
                <c:pt idx="10">
                  <c:v>52963</c:v>
                </c:pt>
                <c:pt idx="11">
                  <c:v>39331</c:v>
                </c:pt>
              </c:numCache>
            </c:numRef>
          </c:val>
          <c:extLst>
            <c:ext xmlns:c16="http://schemas.microsoft.com/office/drawing/2014/chart" uri="{C3380CC4-5D6E-409C-BE32-E72D297353CC}">
              <c16:uniqueId val="{00000000-31F6-4FA0-899D-317B275F81E7}"/>
            </c:ext>
          </c:extLst>
        </c:ser>
        <c:ser>
          <c:idx val="1"/>
          <c:order val="1"/>
          <c:tx>
            <c:strRef>
              <c:f>'[Таблици-ГФО-Анализ Търг.част.xlsx]Лист1'!$C$33</c:f>
              <c:strCache>
                <c:ptCount val="1"/>
                <c:pt idx="0">
                  <c:v>БП '19</c:v>
                </c:pt>
              </c:strCache>
            </c:strRef>
          </c:tx>
          <c:spPr>
            <a:gradFill>
              <a:gsLst>
                <a:gs pos="100000">
                  <a:schemeClr val="accent2">
                    <a:alpha val="0"/>
                  </a:schemeClr>
                </a:gs>
                <a:gs pos="50000">
                  <a:schemeClr val="accent2"/>
                </a:gs>
              </a:gsLst>
              <a:lin ang="5400000" scaled="0"/>
            </a:gradFill>
            <a:ln>
              <a:solidFill>
                <a:schemeClr val="accent2">
                  <a:lumMod val="75000"/>
                </a:schemeClr>
              </a:solidFill>
            </a:ln>
            <a:effectLst/>
            <a:sp3d>
              <a:contourClr>
                <a:schemeClr val="accent2">
                  <a:lumMod val="75000"/>
                </a:schemeClr>
              </a:contourClr>
            </a:sp3d>
          </c:spPr>
          <c:invertIfNegative val="0"/>
          <c:cat>
            <c:strRef>
              <c:f>'[Таблици-ГФО-Анализ Търг.част.xlsx]Лист1'!$A$34:$A$45</c:f>
              <c:strCache>
                <c:ptCount val="12"/>
                <c:pt idx="0">
                  <c:v>Януари</c:v>
                </c:pt>
                <c:pt idx="1">
                  <c:v>Февруари</c:v>
                </c:pt>
                <c:pt idx="2">
                  <c:v>Март</c:v>
                </c:pt>
                <c:pt idx="3">
                  <c:v>Април</c:v>
                </c:pt>
                <c:pt idx="4">
                  <c:v>Май</c:v>
                </c:pt>
                <c:pt idx="5">
                  <c:v>Юни</c:v>
                </c:pt>
                <c:pt idx="6">
                  <c:v>Юли</c:v>
                </c:pt>
                <c:pt idx="7">
                  <c:v>Август</c:v>
                </c:pt>
                <c:pt idx="8">
                  <c:v>Септември</c:v>
                </c:pt>
                <c:pt idx="9">
                  <c:v>Октомври</c:v>
                </c:pt>
                <c:pt idx="10">
                  <c:v>Ноември</c:v>
                </c:pt>
                <c:pt idx="11">
                  <c:v>Декември</c:v>
                </c:pt>
              </c:strCache>
            </c:strRef>
          </c:cat>
          <c:val>
            <c:numRef>
              <c:f>'[Таблици-ГФО-Анализ Търг.част.xlsx]Лист1'!$C$34:$C$45</c:f>
              <c:numCache>
                <c:formatCode>#,##0</c:formatCode>
                <c:ptCount val="12"/>
                <c:pt idx="0">
                  <c:v>40000</c:v>
                </c:pt>
                <c:pt idx="1">
                  <c:v>46000</c:v>
                </c:pt>
                <c:pt idx="2">
                  <c:v>46000</c:v>
                </c:pt>
                <c:pt idx="3">
                  <c:v>50000</c:v>
                </c:pt>
                <c:pt idx="4">
                  <c:v>47000</c:v>
                </c:pt>
                <c:pt idx="5">
                  <c:v>38000</c:v>
                </c:pt>
                <c:pt idx="6">
                  <c:v>45000</c:v>
                </c:pt>
                <c:pt idx="7">
                  <c:v>50000</c:v>
                </c:pt>
                <c:pt idx="8">
                  <c:v>50000</c:v>
                </c:pt>
                <c:pt idx="9">
                  <c:v>60000</c:v>
                </c:pt>
                <c:pt idx="10">
                  <c:v>63000</c:v>
                </c:pt>
                <c:pt idx="11">
                  <c:v>49000</c:v>
                </c:pt>
              </c:numCache>
            </c:numRef>
          </c:val>
          <c:extLst>
            <c:ext xmlns:c16="http://schemas.microsoft.com/office/drawing/2014/chart" uri="{C3380CC4-5D6E-409C-BE32-E72D297353CC}">
              <c16:uniqueId val="{00000001-31F6-4FA0-899D-317B275F81E7}"/>
            </c:ext>
          </c:extLst>
        </c:ser>
        <c:ser>
          <c:idx val="2"/>
          <c:order val="2"/>
          <c:tx>
            <c:strRef>
              <c:f>'[Таблици-ГФО-Анализ Търг.част.xlsx]Лист1'!$D$33</c:f>
              <c:strCache>
                <c:ptCount val="1"/>
                <c:pt idx="0">
                  <c:v>2018</c:v>
                </c:pt>
              </c:strCache>
            </c:strRef>
          </c:tx>
          <c:spPr>
            <a:gradFill flip="none" rotWithShape="1">
              <a:gsLst>
                <a:gs pos="0">
                  <a:schemeClr val="accent3">
                    <a:lumMod val="5000"/>
                    <a:lumOff val="95000"/>
                  </a:schemeClr>
                </a:gs>
                <a:gs pos="53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solidFill>
                <a:schemeClr val="bg1">
                  <a:lumMod val="50000"/>
                </a:schemeClr>
              </a:solidFill>
            </a:ln>
            <a:effectLst/>
            <a:sp3d>
              <a:contourClr>
                <a:schemeClr val="bg1">
                  <a:lumMod val="50000"/>
                </a:schemeClr>
              </a:contourClr>
            </a:sp3d>
          </c:spPr>
          <c:invertIfNegative val="0"/>
          <c:cat>
            <c:strRef>
              <c:f>'[Таблици-ГФО-Анализ Търг.част.xlsx]Лист1'!$A$34:$A$45</c:f>
              <c:strCache>
                <c:ptCount val="12"/>
                <c:pt idx="0">
                  <c:v>Януари</c:v>
                </c:pt>
                <c:pt idx="1">
                  <c:v>Февруари</c:v>
                </c:pt>
                <c:pt idx="2">
                  <c:v>Март</c:v>
                </c:pt>
                <c:pt idx="3">
                  <c:v>Април</c:v>
                </c:pt>
                <c:pt idx="4">
                  <c:v>Май</c:v>
                </c:pt>
                <c:pt idx="5">
                  <c:v>Юни</c:v>
                </c:pt>
                <c:pt idx="6">
                  <c:v>Юли</c:v>
                </c:pt>
                <c:pt idx="7">
                  <c:v>Август</c:v>
                </c:pt>
                <c:pt idx="8">
                  <c:v>Септември</c:v>
                </c:pt>
                <c:pt idx="9">
                  <c:v>Октомври</c:v>
                </c:pt>
                <c:pt idx="10">
                  <c:v>Ноември</c:v>
                </c:pt>
                <c:pt idx="11">
                  <c:v>Декември</c:v>
                </c:pt>
              </c:strCache>
            </c:strRef>
          </c:cat>
          <c:val>
            <c:numRef>
              <c:f>'[Таблици-ГФО-Анализ Търг.част.xlsx]Лист1'!$D$34:$D$45</c:f>
              <c:numCache>
                <c:formatCode>#,##0</c:formatCode>
                <c:ptCount val="12"/>
                <c:pt idx="0">
                  <c:v>47930</c:v>
                </c:pt>
                <c:pt idx="1">
                  <c:v>47462</c:v>
                </c:pt>
                <c:pt idx="2">
                  <c:v>51162</c:v>
                </c:pt>
                <c:pt idx="3">
                  <c:v>27999</c:v>
                </c:pt>
                <c:pt idx="4">
                  <c:v>53502</c:v>
                </c:pt>
                <c:pt idx="5">
                  <c:v>49795</c:v>
                </c:pt>
                <c:pt idx="6">
                  <c:v>62688</c:v>
                </c:pt>
                <c:pt idx="7">
                  <c:v>41704</c:v>
                </c:pt>
                <c:pt idx="8">
                  <c:v>44691</c:v>
                </c:pt>
                <c:pt idx="9">
                  <c:v>51285</c:v>
                </c:pt>
                <c:pt idx="10">
                  <c:v>63743</c:v>
                </c:pt>
                <c:pt idx="11">
                  <c:v>61836</c:v>
                </c:pt>
              </c:numCache>
            </c:numRef>
          </c:val>
          <c:extLst>
            <c:ext xmlns:c16="http://schemas.microsoft.com/office/drawing/2014/chart" uri="{C3380CC4-5D6E-409C-BE32-E72D297353CC}">
              <c16:uniqueId val="{00000002-31F6-4FA0-899D-317B275F81E7}"/>
            </c:ext>
          </c:extLst>
        </c:ser>
        <c:dLbls>
          <c:showLegendKey val="0"/>
          <c:showVal val="0"/>
          <c:showCatName val="0"/>
          <c:showSerName val="0"/>
          <c:showPercent val="0"/>
          <c:showBubbleSize val="0"/>
        </c:dLbls>
        <c:gapWidth val="150"/>
        <c:gapDepth val="0"/>
        <c:shape val="box"/>
        <c:axId val="94128000"/>
        <c:axId val="94130176"/>
        <c:axId val="0"/>
      </c:bar3DChart>
      <c:catAx>
        <c:axId val="94128000"/>
        <c:scaling>
          <c:orientation val="minMax"/>
        </c:scaling>
        <c:delete val="0"/>
        <c:axPos val="b"/>
        <c:title>
          <c:tx>
            <c:rich>
              <a:bodyPr rot="0" spcFirstLastPara="1" vertOverflow="ellipsis" vert="horz" wrap="square" anchor="ctr" anchorCtr="1"/>
              <a:lstStyle/>
              <a:p>
                <a:pPr>
                  <a:defRPr sz="900" b="0" i="0" u="none" strike="noStrike" kern="1200" cap="none" baseline="0">
                    <a:solidFill>
                      <a:sysClr val="windowText" lastClr="000000"/>
                    </a:solidFill>
                    <a:latin typeface="+mn-lt"/>
                    <a:ea typeface="+mn-ea"/>
                    <a:cs typeface="+mn-cs"/>
                  </a:defRPr>
                </a:pPr>
                <a:r>
                  <a:rPr lang="bg-BG" cap="none" baseline="0">
                    <a:solidFill>
                      <a:sysClr val="windowText" lastClr="000000"/>
                    </a:solidFill>
                  </a:rPr>
                  <a:t>тона</a:t>
                </a:r>
              </a:p>
            </c:rich>
          </c:tx>
          <c:layout>
            <c:manualLayout>
              <c:xMode val="edge"/>
              <c:yMode val="edge"/>
              <c:x val="3.6911838376220828E-2"/>
              <c:y val="7.0609792448376119E-2"/>
            </c:manualLayout>
          </c:layout>
          <c:overlay val="0"/>
          <c:spPr>
            <a:noFill/>
            <a:ln>
              <a:noFill/>
            </a:ln>
            <a:effectLst/>
          </c:spPr>
        </c:title>
        <c:numFmt formatCode="General" sourceLinked="1"/>
        <c:majorTickMark val="cross"/>
        <c:minorTickMark val="none"/>
        <c:tickLblPos val="nextTo"/>
        <c:spPr>
          <a:noFill/>
          <a:ln>
            <a:solidFill>
              <a:schemeClr val="accent1">
                <a:lumMod val="40000"/>
                <a:lumOff val="60000"/>
              </a:schemeClr>
            </a:solidFill>
            <a:headEnd w="med"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94130176"/>
        <c:crosses val="autoZero"/>
        <c:auto val="1"/>
        <c:lblAlgn val="ctr"/>
        <c:lblOffset val="100"/>
        <c:noMultiLvlLbl val="0"/>
      </c:catAx>
      <c:valAx>
        <c:axId val="94130176"/>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94128000"/>
        <c:crosses val="autoZero"/>
        <c:crossBetween val="between"/>
      </c:valAx>
      <c:spPr>
        <a:noFill/>
        <a:ln>
          <a:noFill/>
        </a:ln>
        <a:effectLst/>
      </c:spPr>
    </c:plotArea>
    <c:legend>
      <c:legendPos val="b"/>
      <c:layout>
        <c:manualLayout>
          <c:xMode val="edge"/>
          <c:yMode val="edge"/>
          <c:x val="0.77014380526583759"/>
          <c:y val="9.7594803616906936E-2"/>
          <c:w val="0.14116929317871768"/>
          <c:h val="0.2495862052851702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blipFill dpi="0" rotWithShape="1">
      <a:blip xmlns:r="http://schemas.openxmlformats.org/officeDocument/2006/relationships" r:embed="rId2">
        <a:alphaModFix amt="28000"/>
      </a:blip>
      <a:srcRect/>
      <a:stretch>
        <a:fillRect/>
      </a:stretch>
    </a:blip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50" b="1" i="0" u="none" strike="noStrike" kern="1200" cap="all" spc="50" baseline="0">
                <a:solidFill>
                  <a:schemeClr val="dk1"/>
                </a:solidFill>
                <a:latin typeface="+mn-lt"/>
                <a:ea typeface="+mn-ea"/>
                <a:cs typeface="+mn-cs"/>
              </a:defRPr>
            </a:pPr>
            <a:r>
              <a:rPr lang="bg-BG" sz="1050"/>
              <a:t>разходи по видове дейности</a:t>
            </a:r>
          </a:p>
        </c:rich>
      </c:tx>
      <c:layout>
        <c:manualLayout>
          <c:xMode val="edge"/>
          <c:yMode val="edge"/>
          <c:x val="0.13415332257779705"/>
          <c:y val="2.3071246528966489E-2"/>
        </c:manualLayout>
      </c:layout>
      <c:overlay val="0"/>
      <c:spPr>
        <a:noFill/>
        <a:ln>
          <a:noFill/>
        </a:ln>
        <a:effectLst/>
      </c:spPr>
      <c:txPr>
        <a:bodyPr rot="0" spcFirstLastPara="1" vertOverflow="ellipsis" vert="horz" wrap="square" anchor="ctr" anchorCtr="1"/>
        <a:lstStyle/>
        <a:p>
          <a:pPr algn="ctr">
            <a:defRPr sz="1050" b="1" i="0" u="none" strike="noStrike" kern="1200" cap="all" spc="50" baseline="0">
              <a:solidFill>
                <a:schemeClr val="dk1"/>
              </a:solidFill>
              <a:latin typeface="+mn-lt"/>
              <a:ea typeface="+mn-ea"/>
              <a:cs typeface="+mn-cs"/>
            </a:defRPr>
          </a:pPr>
          <a:endParaRPr lang="bg-BG"/>
        </a:p>
      </c:txPr>
    </c:title>
    <c:autoTitleDeleted val="0"/>
    <c:view3D>
      <c:rotX val="15"/>
      <c:rotY val="20"/>
      <c:depthPercent val="100"/>
      <c:rAngAx val="1"/>
    </c:view3D>
    <c:floor>
      <c:thickness val="0"/>
      <c:spPr>
        <a:solidFill>
          <a:schemeClr val="tx2">
            <a:lumMod val="20000"/>
            <a:lumOff val="80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58835351654796"/>
          <c:y val="0.26661742697103685"/>
          <c:w val="0.86659675132799285"/>
          <c:h val="0.62849814012121819"/>
        </c:manualLayout>
      </c:layout>
      <c:bar3DChart>
        <c:barDir val="col"/>
        <c:grouping val="clustered"/>
        <c:varyColors val="0"/>
        <c:ser>
          <c:idx val="0"/>
          <c:order val="0"/>
          <c:tx>
            <c:strRef>
              <c:f>Sheet1!$B$86</c:f>
              <c:strCache>
                <c:ptCount val="1"/>
                <c:pt idx="0">
                  <c:v>2019</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5.7845687271511131E-3"/>
                  <c:y val="-1.9716578071439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A1-40F3-9BCD-574FBCB6EAE7}"/>
                </c:ext>
              </c:extLst>
            </c:dLbl>
            <c:dLbl>
              <c:idx val="1"/>
              <c:layout>
                <c:manualLayout>
                  <c:x val="5.7845687271510602E-3"/>
                  <c:y val="-9.85828903571960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A1-40F3-9BCD-574FBCB6EAE7}"/>
                </c:ext>
              </c:extLst>
            </c:dLbl>
            <c:dLbl>
              <c:idx val="2"/>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A1-40F3-9BCD-574FBCB6EAE7}"/>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strRef>
              <c:f>Sheet1!$A$87:$A$89</c:f>
              <c:strCache>
                <c:ptCount val="3"/>
                <c:pt idx="0">
                  <c:v>За претоварна дейност</c:v>
                </c:pt>
                <c:pt idx="1">
                  <c:v>За складова дейност</c:v>
                </c:pt>
                <c:pt idx="2">
                  <c:v>Други разходи</c:v>
                </c:pt>
              </c:strCache>
            </c:strRef>
          </c:cat>
          <c:val>
            <c:numRef>
              <c:f>Sheet1!$B$87:$B$89</c:f>
              <c:numCache>
                <c:formatCode>#,##0</c:formatCode>
                <c:ptCount val="3"/>
                <c:pt idx="0">
                  <c:v>2363</c:v>
                </c:pt>
                <c:pt idx="1">
                  <c:v>486</c:v>
                </c:pt>
                <c:pt idx="2">
                  <c:v>2243</c:v>
                </c:pt>
              </c:numCache>
            </c:numRef>
          </c:val>
          <c:extLst>
            <c:ext xmlns:c16="http://schemas.microsoft.com/office/drawing/2014/chart" uri="{C3380CC4-5D6E-409C-BE32-E72D297353CC}">
              <c16:uniqueId val="{00000003-51A1-40F3-9BCD-574FBCB6EAE7}"/>
            </c:ext>
          </c:extLst>
        </c:ser>
        <c:ser>
          <c:idx val="2"/>
          <c:order val="2"/>
          <c:tx>
            <c:strRef>
              <c:f>Sheet1!$C$86</c:f>
              <c:strCache>
                <c:ptCount val="1"/>
                <c:pt idx="0">
                  <c:v>2018</c:v>
                </c:pt>
              </c:strCache>
            </c:strRef>
          </c:tx>
          <c:spPr>
            <a:gradFill flip="none" rotWithShape="1">
              <a:gsLst>
                <a:gs pos="0">
                  <a:schemeClr val="bg1">
                    <a:lumMod val="85000"/>
                    <a:alpha val="54000"/>
                  </a:schemeClr>
                </a:gs>
                <a:gs pos="50000">
                  <a:srgbClr val="FFFF00">
                    <a:shade val="67500"/>
                    <a:satMod val="115000"/>
                  </a:srgbClr>
                </a:gs>
                <a:gs pos="100000">
                  <a:srgbClr val="FFFF00">
                    <a:shade val="100000"/>
                    <a:satMod val="115000"/>
                  </a:srgbClr>
                </a:gs>
              </a:gsLst>
              <a:lin ang="16200000" scaled="1"/>
              <a:tileRect/>
            </a:gradFill>
            <a:ln>
              <a:noFill/>
            </a:ln>
            <a:effectLst/>
            <a:sp3d/>
          </c:spPr>
          <c:invertIfNegative val="0"/>
          <c:dLbls>
            <c:dLbl>
              <c:idx val="0"/>
              <c:layout>
                <c:manualLayout>
                  <c:x val="2.3138047088954634E-2"/>
                  <c:y val="-3.4504011625018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A1-40F3-9BCD-574FBCB6EAE7}"/>
                </c:ext>
              </c:extLst>
            </c:dLbl>
            <c:dLbl>
              <c:idx val="1"/>
              <c:layout>
                <c:manualLayout>
                  <c:x val="1.7353478361803575E-2"/>
                  <c:y val="-4.4362300660738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A1-40F3-9BCD-574FBCB6EAE7}"/>
                </c:ext>
              </c:extLst>
            </c:dLbl>
            <c:dLbl>
              <c:idx val="2"/>
              <c:layout>
                <c:manualLayout>
                  <c:x val="3.18418968081783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A1-40F3-9BCD-574FBCB6EAE7}"/>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strRef>
              <c:f>Sheet1!$A$87:$A$89</c:f>
              <c:strCache>
                <c:ptCount val="3"/>
                <c:pt idx="0">
                  <c:v>За претоварна дейност</c:v>
                </c:pt>
                <c:pt idx="1">
                  <c:v>За складова дейност</c:v>
                </c:pt>
                <c:pt idx="2">
                  <c:v>Други разходи</c:v>
                </c:pt>
              </c:strCache>
            </c:strRef>
          </c:cat>
          <c:val>
            <c:numRef>
              <c:f>Sheet1!$C$87:$C$89</c:f>
              <c:numCache>
                <c:formatCode>#,##0</c:formatCode>
                <c:ptCount val="3"/>
                <c:pt idx="0">
                  <c:v>2207</c:v>
                </c:pt>
                <c:pt idx="1">
                  <c:v>471</c:v>
                </c:pt>
                <c:pt idx="2">
                  <c:v>2005</c:v>
                </c:pt>
              </c:numCache>
            </c:numRef>
          </c:val>
          <c:extLst>
            <c:ext xmlns:c16="http://schemas.microsoft.com/office/drawing/2014/chart" uri="{C3380CC4-5D6E-409C-BE32-E72D297353CC}">
              <c16:uniqueId val="{00000007-51A1-40F3-9BCD-574FBCB6EAE7}"/>
            </c:ext>
          </c:extLst>
        </c:ser>
        <c:dLbls>
          <c:showLegendKey val="0"/>
          <c:showVal val="1"/>
          <c:showCatName val="0"/>
          <c:showSerName val="0"/>
          <c:showPercent val="0"/>
          <c:showBubbleSize val="0"/>
        </c:dLbls>
        <c:gapWidth val="150"/>
        <c:gapDepth val="0"/>
        <c:shape val="box"/>
        <c:axId val="22172032"/>
        <c:axId val="22173952"/>
        <c:axId val="0"/>
        <c:extLst>
          <c:ext xmlns:c15="http://schemas.microsoft.com/office/drawing/2012/chart" uri="{02D57815-91ED-43cb-92C2-25804820EDAC}">
            <c15:filteredBarSeries>
              <c15:ser>
                <c:idx val="1"/>
                <c:order val="1"/>
                <c:tx>
                  <c:strRef>
                    <c:extLst>
                      <c:ext uri="{02D57815-91ED-43cb-92C2-25804820EDAC}">
                        <c15:formulaRef>
                          <c15:sqref>Sheet1!#REF!</c15:sqref>
                        </c15:formulaRef>
                      </c:ext>
                    </c:extLst>
                    <c:strCache>
                      <c:ptCount val="1"/>
                      <c:pt idx="0">
                        <c:v>#REF!</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1.7355756558301239E-2"/>
                        <c:y val="-3.4504011625018677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8-51A1-40F3-9BCD-574FBCB6EAE7}"/>
                      </c:ext>
                    </c:extLst>
                  </c:dLbl>
                  <c:dLbl>
                    <c:idx val="1"/>
                    <c:layout>
                      <c:manualLayout>
                        <c:x val="1.44613079080529E-2"/>
                        <c:y val="-2.4645722589299111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9-51A1-40F3-9BCD-574FBCB6EAE7}"/>
                      </c:ext>
                    </c:extLst>
                  </c:dLbl>
                  <c:dLbl>
                    <c:idx val="2"/>
                    <c:layout>
                      <c:manualLayout>
                        <c:x val="2.0245842371655821E-2"/>
                        <c:y val="-1.4787433553579412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A-51A1-40F3-9BCD-574FBCB6EAE7}"/>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bg-BG"/>
                    </a:p>
                  </c:txPr>
                  <c:showLegendKey val="0"/>
                  <c:showVal val="1"/>
                  <c:showCatName val="0"/>
                  <c:showSerName val="0"/>
                  <c:showPercent val="0"/>
                  <c:showBubbleSize val="0"/>
                  <c:showLeaderLines val="0"/>
                  <c:extLst>
                    <c:ext uri="{CE6537A1-D6FC-4f65-9D91-7224C49458BB}">
                      <c15:showLeaderLines val="1"/>
                      <c15:leaderLines>
                        <c:spPr>
                          <a:ln w="9525">
                            <a:noFill/>
                          </a:ln>
                          <a:effectLst/>
                        </c:spPr>
                      </c15:leaderLines>
                    </c:ext>
                  </c:extLst>
                </c:dLbls>
                <c:cat>
                  <c:strRef>
                    <c:extLst>
                      <c:ext uri="{02D57815-91ED-43cb-92C2-25804820EDAC}">
                        <c15:formulaRef>
                          <c15:sqref>Sheet1!$A$87:$A$89</c15:sqref>
                        </c15:formulaRef>
                      </c:ext>
                    </c:extLst>
                    <c:strCache>
                      <c:ptCount val="3"/>
                      <c:pt idx="0">
                        <c:v>За претоварна дейност</c:v>
                      </c:pt>
                      <c:pt idx="1">
                        <c:v>За складова дейност</c:v>
                      </c:pt>
                      <c:pt idx="2">
                        <c:v>Други разходи</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B-51A1-40F3-9BCD-574FBCB6EAE7}"/>
                  </c:ext>
                </c:extLst>
              </c15:ser>
            </c15:filteredBarSeries>
          </c:ext>
        </c:extLst>
      </c:bar3DChart>
      <c:catAx>
        <c:axId val="22172032"/>
        <c:scaling>
          <c:orientation val="minMax"/>
        </c:scaling>
        <c:delete val="0"/>
        <c:axPos val="b"/>
        <c:title>
          <c:tx>
            <c:rich>
              <a:bodyPr rot="0" spcFirstLastPara="1" vertOverflow="ellipsis" vert="horz" wrap="square" anchor="ctr" anchorCtr="1"/>
              <a:lstStyle/>
              <a:p>
                <a:pPr>
                  <a:defRPr sz="700" b="1" i="0" u="none" strike="noStrike" kern="1200" cap="all" baseline="0">
                    <a:solidFill>
                      <a:schemeClr val="dk1"/>
                    </a:solidFill>
                    <a:latin typeface="+mn-lt"/>
                    <a:ea typeface="+mn-ea"/>
                    <a:cs typeface="+mn-cs"/>
                  </a:defRPr>
                </a:pPr>
                <a:r>
                  <a:rPr lang="bg-BG" sz="700" b="1">
                    <a:latin typeface="+mn-lt"/>
                  </a:rPr>
                  <a:t>хил.лв.</a:t>
                </a:r>
              </a:p>
            </c:rich>
          </c:tx>
          <c:layout>
            <c:manualLayout>
              <c:xMode val="edge"/>
              <c:yMode val="edge"/>
              <c:x val="3.0352009857288739E-2"/>
              <c:y val="0.18872492157992449"/>
            </c:manualLayout>
          </c:layout>
          <c:overlay val="0"/>
          <c:spPr>
            <a:noFill/>
            <a:ln>
              <a:noFill/>
            </a:ln>
            <a:effectLst/>
          </c:spPr>
          <c:txPr>
            <a:bodyPr rot="0" spcFirstLastPara="1" vertOverflow="ellipsis" vert="horz" wrap="square" anchor="ctr" anchorCtr="1"/>
            <a:lstStyle/>
            <a:p>
              <a:pPr>
                <a:defRPr sz="700" b="1" i="0" u="none" strike="noStrike" kern="1200" cap="all" baseline="0">
                  <a:solidFill>
                    <a:schemeClr val="dk1"/>
                  </a:solidFill>
                  <a:latin typeface="+mn-lt"/>
                  <a:ea typeface="+mn-ea"/>
                  <a:cs typeface="+mn-cs"/>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bg-BG"/>
          </a:p>
        </c:txPr>
        <c:crossAx val="22173952"/>
        <c:crosses val="autoZero"/>
        <c:auto val="1"/>
        <c:lblAlgn val="ctr"/>
        <c:lblOffset val="100"/>
        <c:noMultiLvlLbl val="0"/>
      </c:catAx>
      <c:valAx>
        <c:axId val="2217395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bg-BG"/>
          </a:p>
        </c:txPr>
        <c:crossAx val="22172032"/>
        <c:crosses val="autoZero"/>
        <c:crossBetween val="between"/>
      </c:valAx>
      <c:spPr>
        <a:noFill/>
        <a:ln>
          <a:noFill/>
        </a:ln>
        <a:effectLst/>
      </c:spPr>
    </c:plotArea>
    <c:legend>
      <c:legendPos val="b"/>
      <c:layout>
        <c:manualLayout>
          <c:xMode val="edge"/>
          <c:yMode val="edge"/>
          <c:x val="0.846754003905694"/>
          <c:y val="3.4503235381787463E-2"/>
          <c:w val="0.14814035447304444"/>
          <c:h val="0.2458416650106811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4347">
        <a:alpha val="21000"/>
      </a:srgbClr>
    </a:solidFill>
    <a:ln w="25400" cap="flat" cmpd="sng" algn="ctr">
      <a:noFill/>
      <a:prstDash val="solid"/>
      <a:round/>
    </a:ln>
    <a:effectLst/>
  </c:spPr>
  <c:txPr>
    <a:bodyPr/>
    <a:lstStyle/>
    <a:p>
      <a:pPr>
        <a:defRPr>
          <a:solidFill>
            <a:schemeClr val="dk1"/>
          </a:solidFill>
          <a:latin typeface="+mn-lt"/>
          <a:ea typeface="+mn-ea"/>
          <a:cs typeface="+mn-cs"/>
        </a:defRPr>
      </a:pPr>
      <a:endParaRPr lang="bg-BG"/>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all" spc="50" baseline="0">
                <a:solidFill>
                  <a:sysClr val="windowText" lastClr="000000"/>
                </a:solidFill>
                <a:latin typeface="+mn-lt"/>
                <a:ea typeface="+mn-ea"/>
                <a:cs typeface="+mn-cs"/>
              </a:defRPr>
            </a:pPr>
            <a:r>
              <a:rPr lang="bg-BG" sz="1050">
                <a:solidFill>
                  <a:sysClr val="windowText" lastClr="000000"/>
                </a:solidFill>
              </a:rPr>
              <a:t>Приходи по видове дейности</a:t>
            </a:r>
          </a:p>
        </c:rich>
      </c:tx>
      <c:layout>
        <c:manualLayout>
          <c:xMode val="edge"/>
          <c:yMode val="edge"/>
          <c:x val="0.21555886306894562"/>
          <c:y val="3.8461538461538464E-2"/>
        </c:manualLayout>
      </c:layout>
      <c:overlay val="0"/>
      <c:spPr>
        <a:noFill/>
        <a:ln>
          <a:noFill/>
        </a:ln>
        <a:effectLst/>
      </c:spPr>
      <c:txPr>
        <a:bodyPr rot="0" spcFirstLastPara="1" vertOverflow="ellipsis" vert="horz" wrap="square" anchor="ctr" anchorCtr="1"/>
        <a:lstStyle/>
        <a:p>
          <a:pPr>
            <a:defRPr sz="1050" b="1" i="0" u="none" strike="noStrike" kern="1200" cap="all" spc="50" baseline="0">
              <a:solidFill>
                <a:sysClr val="windowText" lastClr="000000"/>
              </a:solidFill>
              <a:latin typeface="+mn-lt"/>
              <a:ea typeface="+mn-ea"/>
              <a:cs typeface="+mn-cs"/>
            </a:defRPr>
          </a:pPr>
          <a:endParaRPr lang="bg-BG"/>
        </a:p>
      </c:txPr>
    </c:title>
    <c:autoTitleDeleted val="0"/>
    <c:view3D>
      <c:rotX val="15"/>
      <c:rotY val="20"/>
      <c:depthPercent val="100"/>
      <c:rAngAx val="1"/>
    </c:view3D>
    <c:floor>
      <c:thickness val="0"/>
      <c:spPr>
        <a:solidFill>
          <a:schemeClr val="bg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58835351654796"/>
          <c:y val="0.18282197016742013"/>
          <c:w val="0.86659675132799285"/>
          <c:h val="0.71229359692483485"/>
        </c:manualLayout>
      </c:layout>
      <c:bar3DChart>
        <c:barDir val="col"/>
        <c:grouping val="clustered"/>
        <c:varyColors val="0"/>
        <c:ser>
          <c:idx val="0"/>
          <c:order val="0"/>
          <c:tx>
            <c:strRef>
              <c:f>Sheet1!$B$67</c:f>
              <c:strCache>
                <c:ptCount val="1"/>
                <c:pt idx="0">
                  <c:v>2019</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5.7845263919016369E-3"/>
                  <c:y val="-4.92914451785980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49-4C8B-96AC-C92164587658}"/>
                </c:ext>
              </c:extLst>
            </c:dLbl>
            <c:dLbl>
              <c:idx val="1"/>
              <c:layout>
                <c:manualLayout>
                  <c:x val="-2.892263195950884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49-4C8B-96AC-C92164587658}"/>
                </c:ext>
              </c:extLst>
            </c:dLbl>
            <c:dLbl>
              <c:idx val="2"/>
              <c:layout>
                <c:manualLayout>
                  <c:x val="2.603036876355748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49-4C8B-96AC-C921645876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strRef>
              <c:f>Sheet1!$A$68:$A$70</c:f>
              <c:strCache>
                <c:ptCount val="3"/>
                <c:pt idx="0">
                  <c:v>От претоварна дейност</c:v>
                </c:pt>
                <c:pt idx="1">
                  <c:v>От складова дейност</c:v>
                </c:pt>
                <c:pt idx="2">
                  <c:v>Други приходи</c:v>
                </c:pt>
              </c:strCache>
            </c:strRef>
          </c:cat>
          <c:val>
            <c:numRef>
              <c:f>Sheet1!$B$68:$B$70</c:f>
              <c:numCache>
                <c:formatCode>#,##0</c:formatCode>
                <c:ptCount val="3"/>
                <c:pt idx="0">
                  <c:v>2624</c:v>
                </c:pt>
                <c:pt idx="1">
                  <c:v>1919</c:v>
                </c:pt>
                <c:pt idx="2">
                  <c:v>1105</c:v>
                </c:pt>
              </c:numCache>
            </c:numRef>
          </c:val>
          <c:extLst>
            <c:ext xmlns:c16="http://schemas.microsoft.com/office/drawing/2014/chart" uri="{C3380CC4-5D6E-409C-BE32-E72D297353CC}">
              <c16:uniqueId val="{00000003-F749-4C8B-96AC-C92164587658}"/>
            </c:ext>
          </c:extLst>
        </c:ser>
        <c:ser>
          <c:idx val="2"/>
          <c:order val="2"/>
          <c:tx>
            <c:strRef>
              <c:f>Sheet1!$C$67</c:f>
              <c:strCache>
                <c:ptCount val="1"/>
                <c:pt idx="0">
                  <c:v>2018</c:v>
                </c:pt>
              </c:strCache>
            </c:strRef>
          </c:tx>
          <c:spPr>
            <a:gradFill flip="none" rotWithShape="1">
              <a:gsLst>
                <a:gs pos="0">
                  <a:schemeClr val="bg1">
                    <a:alpha val="53000"/>
                  </a:schemeClr>
                </a:gs>
                <a:gs pos="63000">
                  <a:srgbClr val="FFFF00">
                    <a:shade val="67500"/>
                    <a:satMod val="115000"/>
                    <a:alpha val="64000"/>
                  </a:srgbClr>
                </a:gs>
                <a:gs pos="100000">
                  <a:srgbClr val="FFFF00">
                    <a:shade val="100000"/>
                    <a:satMod val="115000"/>
                  </a:srgbClr>
                </a:gs>
              </a:gsLst>
              <a:lin ang="16200000" scaled="1"/>
              <a:tileRect/>
            </a:gradFill>
            <a:ln>
              <a:noFill/>
            </a:ln>
            <a:effectLst/>
            <a:sp3d/>
          </c:spPr>
          <c:invertIfNegative val="0"/>
          <c:dLbls>
            <c:dLbl>
              <c:idx val="0"/>
              <c:layout>
                <c:manualLayout>
                  <c:x val="1.73535791757049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49-4C8B-96AC-C92164587658}"/>
                </c:ext>
              </c:extLst>
            </c:dLbl>
            <c:dLbl>
              <c:idx val="1"/>
              <c:layout>
                <c:manualLayout>
                  <c:x val="1.735357917570499E-2"/>
                  <c:y val="-1.4787433553579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49-4C8B-96AC-C92164587658}"/>
                </c:ext>
              </c:extLst>
            </c:dLbl>
            <c:dLbl>
              <c:idx val="2"/>
              <c:layout>
                <c:manualLayout>
                  <c:x val="2.3138105567606548E-2"/>
                  <c:y val="-4.92914451785980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49-4C8B-96AC-C921645876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strRef>
              <c:f>Sheet1!$A$68:$A$70</c:f>
              <c:strCache>
                <c:ptCount val="3"/>
                <c:pt idx="0">
                  <c:v>От претоварна дейност</c:v>
                </c:pt>
                <c:pt idx="1">
                  <c:v>От складова дейност</c:v>
                </c:pt>
                <c:pt idx="2">
                  <c:v>Други приходи</c:v>
                </c:pt>
              </c:strCache>
            </c:strRef>
          </c:cat>
          <c:val>
            <c:numRef>
              <c:f>Sheet1!$C$68:$C$70</c:f>
              <c:numCache>
                <c:formatCode>#,##0</c:formatCode>
                <c:ptCount val="3"/>
                <c:pt idx="0">
                  <c:v>2691</c:v>
                </c:pt>
                <c:pt idx="1">
                  <c:v>1987</c:v>
                </c:pt>
                <c:pt idx="2">
                  <c:v>615</c:v>
                </c:pt>
              </c:numCache>
            </c:numRef>
          </c:val>
          <c:extLst>
            <c:ext xmlns:c16="http://schemas.microsoft.com/office/drawing/2014/chart" uri="{C3380CC4-5D6E-409C-BE32-E72D297353CC}">
              <c16:uniqueId val="{00000007-F749-4C8B-96AC-C92164587658}"/>
            </c:ext>
          </c:extLst>
        </c:ser>
        <c:dLbls>
          <c:showLegendKey val="0"/>
          <c:showVal val="1"/>
          <c:showCatName val="0"/>
          <c:showSerName val="0"/>
          <c:showPercent val="0"/>
          <c:showBubbleSize val="0"/>
        </c:dLbls>
        <c:gapWidth val="150"/>
        <c:gapDepth val="0"/>
        <c:shape val="box"/>
        <c:axId val="103038976"/>
        <c:axId val="103040896"/>
        <c:axId val="0"/>
        <c:extLst>
          <c:ext xmlns:c15="http://schemas.microsoft.com/office/drawing/2012/chart" uri="{02D57815-91ED-43cb-92C2-25804820EDAC}">
            <c15:filteredBarSeries>
              <c15:ser>
                <c:idx val="1"/>
                <c:order val="1"/>
                <c:tx>
                  <c:strRef>
                    <c:extLst>
                      <c:ext uri="{02D57815-91ED-43cb-92C2-25804820EDAC}">
                        <c15:formulaRef>
                          <c15:sqref>Sheet1!#REF!</c15:sqref>
                        </c15:formulaRef>
                      </c:ext>
                    </c:extLst>
                    <c:strCache>
                      <c:ptCount val="1"/>
                      <c:pt idx="0">
                        <c:v>#REF!</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5.7845263919016629E-3"/>
                        <c:y val="-9.8582890357196088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8-F749-4C8B-96AC-C92164587658}"/>
                      </c:ext>
                    </c:extLst>
                  </c:dLbl>
                  <c:dLbl>
                    <c:idx val="1"/>
                    <c:layout>
                      <c:manualLayout>
                        <c:x val="0"/>
                        <c:y val="-1.4787433553579412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9-F749-4C8B-96AC-C92164587658}"/>
                      </c:ext>
                    </c:extLst>
                  </c:dLbl>
                  <c:dLbl>
                    <c:idx val="2"/>
                    <c:layout>
                      <c:manualLayout>
                        <c:x val="2.8922631959508102E-2"/>
                        <c:y val="0"/>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A-F749-4C8B-96AC-C921645876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uri="{CE6537A1-D6FC-4f65-9D91-7224C49458BB}">
                      <c15:showLeaderLines val="1"/>
                      <c15:leaderLines>
                        <c:spPr>
                          <a:ln w="9525">
                            <a:noFill/>
                          </a:ln>
                          <a:effectLst/>
                        </c:spPr>
                      </c15:leaderLines>
                    </c:ext>
                  </c:extLst>
                </c:dLbls>
                <c:cat>
                  <c:strRef>
                    <c:extLst>
                      <c:ext uri="{02D57815-91ED-43cb-92C2-25804820EDAC}">
                        <c15:formulaRef>
                          <c15:sqref>Sheet1!$A$68:$A$70</c15:sqref>
                        </c15:formulaRef>
                      </c:ext>
                    </c:extLst>
                    <c:strCache>
                      <c:ptCount val="3"/>
                      <c:pt idx="0">
                        <c:v>От претоварна дейност</c:v>
                      </c:pt>
                      <c:pt idx="1">
                        <c:v>От складова дейност</c:v>
                      </c:pt>
                      <c:pt idx="2">
                        <c:v>Други приходи</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B-F749-4C8B-96AC-C92164587658}"/>
                  </c:ext>
                </c:extLst>
              </c15:ser>
            </c15:filteredBarSeries>
          </c:ext>
        </c:extLst>
      </c:bar3DChart>
      <c:catAx>
        <c:axId val="103038976"/>
        <c:scaling>
          <c:orientation val="minMax"/>
        </c:scaling>
        <c:delete val="0"/>
        <c:axPos val="b"/>
        <c:title>
          <c:tx>
            <c:rich>
              <a:bodyPr rot="0" spcFirstLastPara="1" vertOverflow="ellipsis" vert="horz" wrap="square" anchor="ctr" anchorCtr="1"/>
              <a:lstStyle/>
              <a:p>
                <a:pPr>
                  <a:defRPr sz="700" b="1" i="0" u="none" strike="noStrike" kern="1200" cap="all" baseline="0">
                    <a:solidFill>
                      <a:sysClr val="windowText" lastClr="000000"/>
                    </a:solidFill>
                    <a:latin typeface="+mn-lt"/>
                    <a:ea typeface="+mn-ea"/>
                    <a:cs typeface="+mn-cs"/>
                  </a:defRPr>
                </a:pPr>
                <a:r>
                  <a:rPr lang="bg-BG" sz="700" b="1">
                    <a:solidFill>
                      <a:sysClr val="windowText" lastClr="000000"/>
                    </a:solidFill>
                  </a:rPr>
                  <a:t>хил.лв.</a:t>
                </a:r>
              </a:p>
            </c:rich>
          </c:tx>
          <c:layout>
            <c:manualLayout>
              <c:xMode val="edge"/>
              <c:yMode val="edge"/>
              <c:x val="1.5912457797439092E-2"/>
              <c:y val="0.11951273659893685"/>
            </c:manualLayout>
          </c:layout>
          <c:overlay val="0"/>
          <c:spPr>
            <a:noFill/>
            <a:ln>
              <a:noFill/>
            </a:ln>
            <a:effectLst/>
          </c:spPr>
          <c:txPr>
            <a:bodyPr rot="0" spcFirstLastPara="1" vertOverflow="ellipsis" vert="horz" wrap="square" anchor="ctr" anchorCtr="1"/>
            <a:lstStyle/>
            <a:p>
              <a:pPr>
                <a:defRPr sz="700" b="1" i="0" u="none" strike="noStrike" kern="1200" cap="all" baseline="0">
                  <a:solidFill>
                    <a:sysClr val="windowText" lastClr="000000"/>
                  </a:solidFill>
                  <a:latin typeface="+mn-lt"/>
                  <a:ea typeface="+mn-ea"/>
                  <a:cs typeface="+mn-cs"/>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103040896"/>
        <c:crosses val="autoZero"/>
        <c:auto val="1"/>
        <c:lblAlgn val="ctr"/>
        <c:lblOffset val="100"/>
        <c:noMultiLvlLbl val="0"/>
      </c:catAx>
      <c:valAx>
        <c:axId val="103040896"/>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103038976"/>
        <c:crosses val="autoZero"/>
        <c:crossBetween val="between"/>
      </c:valAx>
      <c:spPr>
        <a:noFill/>
        <a:ln>
          <a:noFill/>
        </a:ln>
        <a:effectLst/>
      </c:spPr>
    </c:plotArea>
    <c:legend>
      <c:legendPos val="b"/>
      <c:layout>
        <c:manualLayout>
          <c:xMode val="edge"/>
          <c:yMode val="edge"/>
          <c:x val="0.8380772677805518"/>
          <c:y val="0.15722239047042194"/>
          <c:w val="0.14814035447304444"/>
          <c:h val="0.245841665010681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1">
        <a:lumMod val="40000"/>
        <a:lumOff val="60000"/>
        <a:alpha val="75000"/>
      </a:schemeClr>
    </a:solidFill>
    <a:ln w="25400" cap="flat" cmpd="sng" algn="ctr">
      <a:noFill/>
      <a:round/>
    </a:ln>
    <a:effectLst/>
  </c:spPr>
  <c:txPr>
    <a:bodyPr/>
    <a:lstStyle/>
    <a:p>
      <a:pPr>
        <a:defRPr/>
      </a:pPr>
      <a:endParaRPr lang="bg-B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effectLst>
                  <a:reflection blurRad="6350" stA="50000" endA="300" endPos="50000" dist="60007" dir="5400000" sy="-100000" algn="bl" rotWithShape="0"/>
                </a:effectLst>
                <a:latin typeface="+mn-lt"/>
                <a:ea typeface="+mn-ea"/>
                <a:cs typeface="+mn-cs"/>
              </a:defRPr>
            </a:pPr>
            <a:r>
              <a:rPr lang="bg-BG">
                <a:solidFill>
                  <a:sysClr val="windowText" lastClr="000000"/>
                </a:solidFill>
                <a:effectLst>
                  <a:reflection blurRad="6350" stA="50000" endA="300" endPos="50000" dist="60007" dir="5400000" sy="-100000" algn="bl" rotWithShape="0"/>
                </a:effectLst>
              </a:rPr>
              <a:t>Товарооборот по основни групи товари</a:t>
            </a:r>
          </a:p>
        </c:rich>
      </c:tx>
      <c:layout>
        <c:manualLayout>
          <c:xMode val="edge"/>
          <c:yMode val="edge"/>
          <c:x val="0.15432633420822398"/>
          <c:y val="5.0925925925925923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47594050743664E-2"/>
          <c:y val="0.15021264291116151"/>
          <c:w val="0.89019685039370078"/>
          <c:h val="0.73121891543218109"/>
        </c:manualLayout>
      </c:layout>
      <c:bar3DChart>
        <c:barDir val="col"/>
        <c:grouping val="clustered"/>
        <c:varyColors val="0"/>
        <c:ser>
          <c:idx val="0"/>
          <c:order val="0"/>
          <c:tx>
            <c:strRef>
              <c:f>'[Таблици-ГФО-Анализ Търг.част.xlsx]Лист1'!$A$2</c:f>
              <c:strCache>
                <c:ptCount val="1"/>
                <c:pt idx="0">
                  <c:v>насипни</c:v>
                </c:pt>
              </c:strCache>
            </c:strRef>
          </c:tx>
          <c:spPr>
            <a:solidFill>
              <a:schemeClr val="accent1"/>
            </a:solidFill>
            <a:ln>
              <a:noFill/>
            </a:ln>
            <a:effectLst/>
            <a:sp3d/>
          </c:spPr>
          <c:invertIfNegative val="0"/>
          <c:dPt>
            <c:idx val="0"/>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8-041A-4673-A03B-B517F089CD37}"/>
              </c:ext>
            </c:extLst>
          </c:dPt>
          <c:dPt>
            <c:idx val="1"/>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9-041A-4673-A03B-B517F089CD37}"/>
              </c:ext>
            </c:extLst>
          </c:dPt>
          <c:cat>
            <c:numRef>
              <c:f>'[Таблици-ГФО-Анализ Търг.част.xlsx]Лист1'!$B$1:$C$1</c:f>
              <c:numCache>
                <c:formatCode>General</c:formatCode>
                <c:ptCount val="2"/>
                <c:pt idx="0">
                  <c:v>2019</c:v>
                </c:pt>
                <c:pt idx="1">
                  <c:v>2018</c:v>
                </c:pt>
              </c:numCache>
            </c:numRef>
          </c:cat>
          <c:val>
            <c:numRef>
              <c:f>'[Таблици-ГФО-Анализ Търг.част.xlsx]Лист1'!$B$2:$C$2</c:f>
              <c:numCache>
                <c:formatCode>General</c:formatCode>
                <c:ptCount val="2"/>
                <c:pt idx="0">
                  <c:v>340</c:v>
                </c:pt>
                <c:pt idx="1">
                  <c:v>445</c:v>
                </c:pt>
              </c:numCache>
            </c:numRef>
          </c:val>
          <c:extLst>
            <c:ext xmlns:c16="http://schemas.microsoft.com/office/drawing/2014/chart" uri="{C3380CC4-5D6E-409C-BE32-E72D297353CC}">
              <c16:uniqueId val="{00000000-041A-4673-A03B-B517F089CD37}"/>
            </c:ext>
          </c:extLst>
        </c:ser>
        <c:ser>
          <c:idx val="1"/>
          <c:order val="1"/>
          <c:tx>
            <c:strRef>
              <c:f>'[Таблици-ГФО-Анализ Търг.част.xlsx]Лист1'!$A$3</c:f>
              <c:strCache>
                <c:ptCount val="1"/>
                <c:pt idx="0">
                  <c:v>генерални</c:v>
                </c:pt>
              </c:strCache>
            </c:strRef>
          </c:tx>
          <c:spPr>
            <a:solidFill>
              <a:schemeClr val="accent2"/>
            </a:solidFill>
            <a:ln>
              <a:noFill/>
            </a:ln>
            <a:effectLst/>
            <a:scene3d>
              <a:camera prst="orthographicFront"/>
              <a:lightRig rig="threePt" dir="t"/>
            </a:scene3d>
            <a:sp3d>
              <a:bevelT/>
            </a:sp3d>
          </c:spPr>
          <c:invertIfNegative val="0"/>
          <c:cat>
            <c:numRef>
              <c:f>'[Таблици-ГФО-Анализ Търг.част.xlsx]Лист1'!$B$1:$C$1</c:f>
              <c:numCache>
                <c:formatCode>General</c:formatCode>
                <c:ptCount val="2"/>
                <c:pt idx="0">
                  <c:v>2019</c:v>
                </c:pt>
                <c:pt idx="1">
                  <c:v>2018</c:v>
                </c:pt>
              </c:numCache>
            </c:numRef>
          </c:cat>
          <c:val>
            <c:numRef>
              <c:f>'[Таблици-ГФО-Анализ Търг.част.xlsx]Лист1'!$B$3:$C$3</c:f>
              <c:numCache>
                <c:formatCode>General</c:formatCode>
                <c:ptCount val="2"/>
                <c:pt idx="0">
                  <c:v>145</c:v>
                </c:pt>
                <c:pt idx="1">
                  <c:v>159</c:v>
                </c:pt>
              </c:numCache>
            </c:numRef>
          </c:val>
          <c:extLst>
            <c:ext xmlns:c16="http://schemas.microsoft.com/office/drawing/2014/chart" uri="{C3380CC4-5D6E-409C-BE32-E72D297353CC}">
              <c16:uniqueId val="{00000001-041A-4673-A03B-B517F089CD37}"/>
            </c:ext>
          </c:extLst>
        </c:ser>
        <c:dLbls>
          <c:showLegendKey val="0"/>
          <c:showVal val="0"/>
          <c:showCatName val="0"/>
          <c:showSerName val="0"/>
          <c:showPercent val="0"/>
          <c:showBubbleSize val="0"/>
        </c:dLbls>
        <c:gapWidth val="142"/>
        <c:gapDepth val="119"/>
        <c:shape val="box"/>
        <c:axId val="100745216"/>
        <c:axId val="100747136"/>
        <c:axId val="0"/>
      </c:bar3DChart>
      <c:catAx>
        <c:axId val="100745216"/>
        <c:scaling>
          <c:orientation val="minMax"/>
        </c:scaling>
        <c:delete val="0"/>
        <c:axPos val="b"/>
        <c:title>
          <c:tx>
            <c:rich>
              <a:bodyPr rot="0" spcFirstLastPara="1" vertOverflow="ellipsis" vert="horz" wrap="square" anchor="ctr" anchorCtr="1"/>
              <a:lstStyle/>
              <a:p>
                <a:pPr algn="ctr">
                  <a:defRPr sz="800" b="0" i="0" u="none" strike="noStrike" kern="1200" baseline="0">
                    <a:solidFill>
                      <a:sysClr val="windowText" lastClr="000000"/>
                    </a:solidFill>
                    <a:latin typeface="+mn-lt"/>
                    <a:ea typeface="+mn-ea"/>
                    <a:cs typeface="+mn-cs"/>
                  </a:defRPr>
                </a:pPr>
                <a:r>
                  <a:rPr lang="bg-BG" sz="800">
                    <a:solidFill>
                      <a:sysClr val="windowText" lastClr="000000"/>
                    </a:solidFill>
                  </a:rPr>
                  <a:t>хил.физ.</a:t>
                </a:r>
              </a:p>
              <a:p>
                <a:pPr algn="ctr">
                  <a:defRPr sz="800" b="0" i="0" u="none" strike="noStrike" kern="1200" baseline="0">
                    <a:solidFill>
                      <a:sysClr val="windowText" lastClr="000000"/>
                    </a:solidFill>
                    <a:latin typeface="+mn-lt"/>
                    <a:ea typeface="+mn-ea"/>
                    <a:cs typeface="+mn-cs"/>
                  </a:defRPr>
                </a:pPr>
                <a:r>
                  <a:rPr lang="bg-BG" sz="800">
                    <a:solidFill>
                      <a:sysClr val="windowText" lastClr="000000"/>
                    </a:solidFill>
                  </a:rPr>
                  <a:t>тона</a:t>
                </a:r>
              </a:p>
            </c:rich>
          </c:tx>
          <c:layout>
            <c:manualLayout>
              <c:xMode val="edge"/>
              <c:yMode val="edge"/>
              <c:x val="8.8663996050169312E-3"/>
              <c:y val="0.11520663730592998"/>
            </c:manualLayout>
          </c:layout>
          <c:overlay val="0"/>
          <c:spPr>
            <a:noFill/>
            <a:ln>
              <a:noFill/>
            </a:ln>
            <a:effectLst/>
          </c:spPr>
        </c:title>
        <c:numFmt formatCode="General" sourceLinked="1"/>
        <c:majorTickMark val="cross"/>
        <c:minorTickMark val="none"/>
        <c:tickLblPos val="nextTo"/>
        <c:spPr>
          <a:noFill/>
          <a:ln>
            <a:solidFill>
              <a:schemeClr val="bg1">
                <a:lumMod val="50000"/>
                <a:alpha val="93000"/>
              </a:schemeClr>
            </a:solidFill>
          </a:ln>
          <a:effectLst/>
        </c:spPr>
        <c:txPr>
          <a:bodyPr rot="-60000000" spcFirstLastPara="1" vertOverflow="ellipsis" vert="horz" wrap="square" anchor="ctr" anchorCtr="1"/>
          <a:lstStyle/>
          <a:p>
            <a:pPr>
              <a:defRPr sz="1050" b="0" i="0" u="none" strike="noStrike" kern="1200" baseline="0">
                <a:ln>
                  <a:noFill/>
                </a:ln>
                <a:solidFill>
                  <a:schemeClr val="dk1"/>
                </a:solidFill>
                <a:effectLst>
                  <a:outerShdw blurRad="50800" dist="12700" dir="5400000" algn="t" rotWithShape="0">
                    <a:prstClr val="black">
                      <a:alpha val="40000"/>
                    </a:prstClr>
                  </a:outerShdw>
                </a:effectLst>
                <a:latin typeface="+mn-lt"/>
                <a:ea typeface="+mn-ea"/>
                <a:cs typeface="+mn-cs"/>
              </a:defRPr>
            </a:pPr>
            <a:endParaRPr lang="bg-BG"/>
          </a:p>
        </c:txPr>
        <c:crossAx val="100747136"/>
        <c:crosses val="autoZero"/>
        <c:auto val="1"/>
        <c:lblAlgn val="ctr"/>
        <c:lblOffset val="100"/>
        <c:noMultiLvlLbl val="0"/>
      </c:catAx>
      <c:valAx>
        <c:axId val="100747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bg-BG"/>
          </a:p>
        </c:txPr>
        <c:crossAx val="100745216"/>
        <c:crosses val="autoZero"/>
        <c:crossBetween val="between"/>
      </c:valAx>
      <c:spPr>
        <a:noFill/>
        <a:ln>
          <a:noFill/>
        </a:ln>
        <a:effectLst/>
      </c:spPr>
    </c:plotArea>
    <c:legend>
      <c:legendPos val="b"/>
      <c:layout>
        <c:manualLayout>
          <c:xMode val="edge"/>
          <c:yMode val="edge"/>
          <c:x val="0.81315310586176726"/>
          <c:y val="0.17650408282298047"/>
          <c:w val="0.17369356955380577"/>
          <c:h val="0.286458880139982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blipFill dpi="0" rotWithShape="1">
      <a:blip xmlns:r="http://schemas.openxmlformats.org/officeDocument/2006/relationships" r:embed="rId2">
        <a:alphaModFix amt="23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c:spPr>
  <c:txPr>
    <a:bodyPr/>
    <a:lstStyle/>
    <a:p>
      <a:pPr>
        <a:defRPr>
          <a:solidFill>
            <a:schemeClr val="dk1"/>
          </a:solidFill>
          <a:latin typeface="+mn-lt"/>
          <a:ea typeface="+mn-ea"/>
          <a:cs typeface="+mn-cs"/>
        </a:defRPr>
      </a:pPr>
      <a:endParaRPr lang="bg-B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0" baseline="0">
                <a:ln w="10160">
                  <a:gradFill>
                    <a:gsLst>
                      <a:gs pos="0">
                        <a:schemeClr val="accent1">
                          <a:lumMod val="5000"/>
                          <a:lumOff val="95000"/>
                        </a:schemeClr>
                      </a:gs>
                      <a:gs pos="86000">
                        <a:schemeClr val="accent1">
                          <a:lumMod val="45000"/>
                          <a:lumOff val="55000"/>
                        </a:schemeClr>
                      </a:gs>
                      <a:gs pos="93000">
                        <a:schemeClr val="accent1">
                          <a:lumMod val="45000"/>
                          <a:lumOff val="55000"/>
                        </a:schemeClr>
                      </a:gs>
                      <a:gs pos="100000">
                        <a:schemeClr val="accent1">
                          <a:lumMod val="30000"/>
                          <a:lumOff val="70000"/>
                        </a:schemeClr>
                      </a:gs>
                    </a:gsLst>
                    <a:lin ang="5400000" scaled="1"/>
                  </a:gradFill>
                  <a:prstDash val="solid"/>
                </a:ln>
                <a:solidFill>
                  <a:srgbClr val="FFFFFF"/>
                </a:solidFill>
                <a:effectLst>
                  <a:outerShdw blurRad="38100" dist="22860" dir="5400000" algn="tl" rotWithShape="0">
                    <a:srgbClr val="000000">
                      <a:alpha val="30000"/>
                    </a:srgbClr>
                  </a:outerShdw>
                  <a:reflection blurRad="6350" stA="50000" endA="300" endPos="50000" dist="60007" dir="5400000" sy="-100000" algn="bl" rotWithShape="0"/>
                </a:effectLst>
                <a:latin typeface="+mn-lt"/>
                <a:ea typeface="+mn-ea"/>
                <a:cs typeface="+mn-cs"/>
              </a:defRPr>
            </a:pPr>
            <a:r>
              <a:rPr lang="bg-BG" b="1" cap="none" spc="0">
                <a:ln w="10160">
                  <a:gradFill>
                    <a:gsLst>
                      <a:gs pos="0">
                        <a:schemeClr val="accent1">
                          <a:lumMod val="5000"/>
                          <a:lumOff val="95000"/>
                        </a:schemeClr>
                      </a:gs>
                      <a:gs pos="86000">
                        <a:schemeClr val="accent1">
                          <a:lumMod val="45000"/>
                          <a:lumOff val="55000"/>
                        </a:schemeClr>
                      </a:gs>
                      <a:gs pos="93000">
                        <a:schemeClr val="accent1">
                          <a:lumMod val="45000"/>
                          <a:lumOff val="55000"/>
                        </a:schemeClr>
                      </a:gs>
                      <a:gs pos="100000">
                        <a:schemeClr val="accent1">
                          <a:lumMod val="30000"/>
                          <a:lumOff val="70000"/>
                        </a:schemeClr>
                      </a:gs>
                    </a:gsLst>
                    <a:lin ang="5400000" scaled="1"/>
                  </a:gradFill>
                  <a:prstDash val="solid"/>
                </a:ln>
                <a:solidFill>
                  <a:srgbClr val="FFFFFF"/>
                </a:solidFill>
                <a:effectLst>
                  <a:outerShdw blurRad="38100" dist="22860" dir="5400000" algn="tl" rotWithShape="0">
                    <a:srgbClr val="000000">
                      <a:alpha val="30000"/>
                    </a:srgbClr>
                  </a:outerShdw>
                  <a:reflection blurRad="6350" stA="50000" endA="300" endPos="50000" dist="60007" dir="5400000" sy="-100000" algn="bl" rotWithShape="0"/>
                </a:effectLst>
              </a:rPr>
              <a:t>Основни насипни товари</a:t>
            </a:r>
          </a:p>
          <a:p>
            <a:pPr>
              <a:defRPr sz="1400" b="1" i="0" u="none" strike="noStrike" kern="1200" cap="none" spc="0" baseline="0">
                <a:ln w="10160">
                  <a:gradFill>
                    <a:gsLst>
                      <a:gs pos="0">
                        <a:schemeClr val="accent1">
                          <a:lumMod val="5000"/>
                          <a:lumOff val="95000"/>
                        </a:schemeClr>
                      </a:gs>
                      <a:gs pos="86000">
                        <a:schemeClr val="accent1">
                          <a:lumMod val="45000"/>
                          <a:lumOff val="55000"/>
                        </a:schemeClr>
                      </a:gs>
                      <a:gs pos="93000">
                        <a:schemeClr val="accent1">
                          <a:lumMod val="45000"/>
                          <a:lumOff val="55000"/>
                        </a:schemeClr>
                      </a:gs>
                      <a:gs pos="100000">
                        <a:schemeClr val="accent1">
                          <a:lumMod val="30000"/>
                          <a:lumOff val="70000"/>
                        </a:schemeClr>
                      </a:gs>
                    </a:gsLst>
                    <a:lin ang="5400000" scaled="1"/>
                  </a:gradFill>
                  <a:prstDash val="solid"/>
                </a:ln>
                <a:solidFill>
                  <a:srgbClr val="FFFFFF"/>
                </a:solidFill>
                <a:effectLst>
                  <a:outerShdw blurRad="38100" dist="22860" dir="5400000" algn="tl" rotWithShape="0">
                    <a:srgbClr val="000000">
                      <a:alpha val="30000"/>
                    </a:srgbClr>
                  </a:outerShdw>
                  <a:reflection blurRad="6350" stA="50000" endA="300" endPos="50000" dist="60007" dir="5400000" sy="-100000" algn="bl" rotWithShape="0"/>
                </a:effectLst>
                <a:latin typeface="+mn-lt"/>
                <a:ea typeface="+mn-ea"/>
                <a:cs typeface="+mn-cs"/>
              </a:defRPr>
            </a:pPr>
            <a:r>
              <a:rPr lang="bg-BG" b="1" cap="none" spc="0">
                <a:ln w="10160">
                  <a:gradFill>
                    <a:gsLst>
                      <a:gs pos="0">
                        <a:schemeClr val="accent1">
                          <a:lumMod val="5000"/>
                          <a:lumOff val="95000"/>
                        </a:schemeClr>
                      </a:gs>
                      <a:gs pos="86000">
                        <a:schemeClr val="accent1">
                          <a:lumMod val="45000"/>
                          <a:lumOff val="55000"/>
                        </a:schemeClr>
                      </a:gs>
                      <a:gs pos="93000">
                        <a:schemeClr val="accent1">
                          <a:lumMod val="45000"/>
                          <a:lumOff val="55000"/>
                        </a:schemeClr>
                      </a:gs>
                      <a:gs pos="100000">
                        <a:schemeClr val="accent1">
                          <a:lumMod val="30000"/>
                          <a:lumOff val="70000"/>
                        </a:schemeClr>
                      </a:gs>
                    </a:gsLst>
                    <a:lin ang="5400000" scaled="1"/>
                  </a:gradFill>
                  <a:prstDash val="solid"/>
                </a:ln>
                <a:solidFill>
                  <a:srgbClr val="FFFFFF"/>
                </a:solidFill>
                <a:effectLst>
                  <a:outerShdw blurRad="38100" dist="22860" dir="5400000" algn="tl" rotWithShape="0">
                    <a:srgbClr val="000000">
                      <a:alpha val="30000"/>
                    </a:srgbClr>
                  </a:outerShdw>
                  <a:reflection blurRad="6350" stA="50000" endA="300" endPos="50000" dist="60007" dir="5400000" sy="-100000" algn="bl" rotWithShape="0"/>
                </a:effectLst>
              </a:rPr>
              <a:t>201</a:t>
            </a:r>
            <a:r>
              <a:rPr lang="en-US" b="1" cap="none" spc="0">
                <a:ln w="10160">
                  <a:gradFill>
                    <a:gsLst>
                      <a:gs pos="0">
                        <a:schemeClr val="accent1">
                          <a:lumMod val="5000"/>
                          <a:lumOff val="95000"/>
                        </a:schemeClr>
                      </a:gs>
                      <a:gs pos="86000">
                        <a:schemeClr val="accent1">
                          <a:lumMod val="45000"/>
                          <a:lumOff val="55000"/>
                        </a:schemeClr>
                      </a:gs>
                      <a:gs pos="93000">
                        <a:schemeClr val="accent1">
                          <a:lumMod val="45000"/>
                          <a:lumOff val="55000"/>
                        </a:schemeClr>
                      </a:gs>
                      <a:gs pos="100000">
                        <a:schemeClr val="accent1">
                          <a:lumMod val="30000"/>
                          <a:lumOff val="70000"/>
                        </a:schemeClr>
                      </a:gs>
                    </a:gsLst>
                    <a:lin ang="5400000" scaled="1"/>
                  </a:gradFill>
                  <a:prstDash val="solid"/>
                </a:ln>
                <a:solidFill>
                  <a:srgbClr val="FFFFFF"/>
                </a:solidFill>
                <a:effectLst>
                  <a:outerShdw blurRad="38100" dist="22860" dir="5400000" algn="tl" rotWithShape="0">
                    <a:srgbClr val="000000">
                      <a:alpha val="30000"/>
                    </a:srgbClr>
                  </a:outerShdw>
                  <a:reflection blurRad="6350" stA="50000" endA="300" endPos="50000" dist="60007" dir="5400000" sy="-100000" algn="bl" rotWithShape="0"/>
                </a:effectLst>
              </a:rPr>
              <a:t>9</a:t>
            </a:r>
            <a:r>
              <a:rPr lang="bg-BG" b="1" cap="none" spc="0">
                <a:ln w="10160">
                  <a:gradFill>
                    <a:gsLst>
                      <a:gs pos="0">
                        <a:schemeClr val="accent1">
                          <a:lumMod val="5000"/>
                          <a:lumOff val="95000"/>
                        </a:schemeClr>
                      </a:gs>
                      <a:gs pos="86000">
                        <a:schemeClr val="accent1">
                          <a:lumMod val="45000"/>
                          <a:lumOff val="55000"/>
                        </a:schemeClr>
                      </a:gs>
                      <a:gs pos="93000">
                        <a:schemeClr val="accent1">
                          <a:lumMod val="45000"/>
                          <a:lumOff val="55000"/>
                        </a:schemeClr>
                      </a:gs>
                      <a:gs pos="100000">
                        <a:schemeClr val="accent1">
                          <a:lumMod val="30000"/>
                          <a:lumOff val="70000"/>
                        </a:schemeClr>
                      </a:gs>
                    </a:gsLst>
                    <a:lin ang="5400000" scaled="1"/>
                  </a:gradFill>
                  <a:prstDash val="solid"/>
                </a:ln>
                <a:solidFill>
                  <a:srgbClr val="FFFFFF"/>
                </a:solidFill>
                <a:effectLst>
                  <a:outerShdw blurRad="38100" dist="22860" dir="5400000" algn="tl" rotWithShape="0">
                    <a:srgbClr val="000000">
                      <a:alpha val="30000"/>
                    </a:srgbClr>
                  </a:outerShdw>
                  <a:reflection blurRad="6350" stA="50000" endA="300" endPos="50000" dist="60007" dir="5400000" sy="-100000" algn="bl" rotWithShape="0"/>
                </a:effectLst>
              </a:rPr>
              <a:t>г.</a:t>
            </a:r>
          </a:p>
        </c:rich>
      </c:tx>
      <c:layout>
        <c:manualLayout>
          <c:xMode val="edge"/>
          <c:yMode val="edge"/>
          <c:x val="0.28312903823050845"/>
          <c:y val="1.851851851851851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355314960629921"/>
          <c:y val="7.4907407407407409E-2"/>
          <c:w val="0.8674676290463692"/>
          <c:h val="0.78593358121901424"/>
        </c:manualLayout>
      </c:layout>
      <c:bar3DChart>
        <c:barDir val="col"/>
        <c:grouping val="standard"/>
        <c:varyColors val="0"/>
        <c:ser>
          <c:idx val="0"/>
          <c:order val="0"/>
          <c:tx>
            <c:strRef>
              <c:f>'[Таблици-ГФО-Анализ Търг.част.xlsx]Лист1'!$A$54</c:f>
              <c:strCache>
                <c:ptCount val="1"/>
                <c:pt idx="0">
                  <c:v>2019</c:v>
                </c:pt>
              </c:strCache>
            </c:strRef>
          </c:tx>
          <c:spPr>
            <a:solidFill>
              <a:schemeClr val="accent1"/>
            </a:solidFill>
            <a:ln>
              <a:solidFill>
                <a:schemeClr val="accent1">
                  <a:lumMod val="75000"/>
                </a:schemeClr>
              </a:solidFill>
            </a:ln>
            <a:effectLst/>
            <a:sp3d>
              <a:contourClr>
                <a:schemeClr val="accent1">
                  <a:lumMod val="75000"/>
                </a:schemeClr>
              </a:contourClr>
            </a:sp3d>
          </c:spPr>
          <c:invertIfNegative val="0"/>
          <c:cat>
            <c:strRef>
              <c:f>'[Таблици-ГФО-Анализ Търг.част.xlsx]Лист1'!$B$53:$G$53</c:f>
              <c:strCache>
                <c:ptCount val="6"/>
                <c:pt idx="0">
                  <c:v>Общо</c:v>
                </c:pt>
                <c:pt idx="1">
                  <c:v>Въглища</c:v>
                </c:pt>
                <c:pt idx="2">
                  <c:v>Зърнени храни</c:v>
                </c:pt>
                <c:pt idx="3">
                  <c:v>Химикали и торове</c:v>
                </c:pt>
                <c:pt idx="4">
                  <c:v>Глина</c:v>
                </c:pt>
                <c:pt idx="5">
                  <c:v>Кокс</c:v>
                </c:pt>
              </c:strCache>
            </c:strRef>
          </c:cat>
          <c:val>
            <c:numRef>
              <c:f>'[Таблици-ГФО-Анализ Търг.част.xlsx]Лист1'!$B$54:$G$54</c:f>
              <c:numCache>
                <c:formatCode>General</c:formatCode>
                <c:ptCount val="6"/>
                <c:pt idx="0" formatCode="0.000">
                  <c:v>339.70100000000002</c:v>
                </c:pt>
                <c:pt idx="1">
                  <c:v>122.033</c:v>
                </c:pt>
                <c:pt idx="2">
                  <c:v>101.199</c:v>
                </c:pt>
                <c:pt idx="3">
                  <c:v>44.692999999999998</c:v>
                </c:pt>
                <c:pt idx="4">
                  <c:v>32.926000000000002</c:v>
                </c:pt>
                <c:pt idx="5">
                  <c:v>23.414000000000001</c:v>
                </c:pt>
              </c:numCache>
            </c:numRef>
          </c:val>
          <c:extLst>
            <c:ext xmlns:c16="http://schemas.microsoft.com/office/drawing/2014/chart" uri="{C3380CC4-5D6E-409C-BE32-E72D297353CC}">
              <c16:uniqueId val="{00000000-B233-49E7-B754-5C664DCA3008}"/>
            </c:ext>
          </c:extLst>
        </c:ser>
        <c:ser>
          <c:idx val="1"/>
          <c:order val="1"/>
          <c:tx>
            <c:strRef>
              <c:f>'[Таблици-ГФО-Анализ Търг.част.xlsx]Лист1'!$A$55</c:f>
              <c:strCache>
                <c:ptCount val="1"/>
                <c:pt idx="0">
                  <c:v>2018</c:v>
                </c:pt>
              </c:strCache>
            </c:strRef>
          </c:tx>
          <c:spPr>
            <a:solidFill>
              <a:srgbClr val="FFFF00"/>
            </a:solidFill>
            <a:ln>
              <a:noFill/>
            </a:ln>
            <a:effectLst/>
            <a:sp3d/>
          </c:spPr>
          <c:invertIfNegative val="0"/>
          <c:cat>
            <c:strRef>
              <c:f>'[Таблици-ГФО-Анализ Търг.част.xlsx]Лист1'!$B$53:$G$53</c:f>
              <c:strCache>
                <c:ptCount val="6"/>
                <c:pt idx="0">
                  <c:v>Общо</c:v>
                </c:pt>
                <c:pt idx="1">
                  <c:v>Въглища</c:v>
                </c:pt>
                <c:pt idx="2">
                  <c:v>Зърнени храни</c:v>
                </c:pt>
                <c:pt idx="3">
                  <c:v>Химикали и торове</c:v>
                </c:pt>
                <c:pt idx="4">
                  <c:v>Глина</c:v>
                </c:pt>
                <c:pt idx="5">
                  <c:v>Кокс</c:v>
                </c:pt>
              </c:strCache>
            </c:strRef>
          </c:cat>
          <c:val>
            <c:numRef>
              <c:f>'[Таблици-ГФО-Анализ Търг.част.xlsx]Лист1'!$B$55:$G$55</c:f>
              <c:numCache>
                <c:formatCode>General</c:formatCode>
                <c:ptCount val="6"/>
                <c:pt idx="0" formatCode="0.000">
                  <c:v>445.10599999999999</c:v>
                </c:pt>
                <c:pt idx="1">
                  <c:v>249.072</c:v>
                </c:pt>
                <c:pt idx="2">
                  <c:v>67.924000000000007</c:v>
                </c:pt>
                <c:pt idx="3">
                  <c:v>35.209000000000003</c:v>
                </c:pt>
                <c:pt idx="4">
                  <c:v>42.686</c:v>
                </c:pt>
                <c:pt idx="5">
                  <c:v>16.649000000000001</c:v>
                </c:pt>
              </c:numCache>
            </c:numRef>
          </c:val>
          <c:extLst>
            <c:ext xmlns:c16="http://schemas.microsoft.com/office/drawing/2014/chart" uri="{C3380CC4-5D6E-409C-BE32-E72D297353CC}">
              <c16:uniqueId val="{00000000-AC11-4EB1-9AAB-AE145409A678}"/>
            </c:ext>
          </c:extLst>
        </c:ser>
        <c:dLbls>
          <c:showLegendKey val="0"/>
          <c:showVal val="0"/>
          <c:showCatName val="0"/>
          <c:showSerName val="0"/>
          <c:showPercent val="0"/>
          <c:showBubbleSize val="0"/>
        </c:dLbls>
        <c:gapWidth val="150"/>
        <c:shape val="box"/>
        <c:axId val="100791040"/>
        <c:axId val="100792960"/>
        <c:axId val="26382336"/>
      </c:bar3DChart>
      <c:catAx>
        <c:axId val="100791040"/>
        <c:scaling>
          <c:orientation val="minMax"/>
        </c:scaling>
        <c:delete val="0"/>
        <c:axPos val="b"/>
        <c:title>
          <c:tx>
            <c:rich>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r>
                  <a:rPr lang="bg-BG" sz="900" i="1">
                    <a:solidFill>
                      <a:sysClr val="windowText" lastClr="000000"/>
                    </a:solidFill>
                  </a:rPr>
                  <a:t>хил.физ.</a:t>
                </a:r>
              </a:p>
              <a:p>
                <a:pPr>
                  <a:defRPr sz="900" b="0" i="1" u="none" strike="noStrike" kern="1200" baseline="0">
                    <a:solidFill>
                      <a:sysClr val="windowText" lastClr="000000"/>
                    </a:solidFill>
                    <a:latin typeface="+mn-lt"/>
                    <a:ea typeface="+mn-ea"/>
                    <a:cs typeface="+mn-cs"/>
                  </a:defRPr>
                </a:pPr>
                <a:r>
                  <a:rPr lang="bg-BG" sz="900" i="1">
                    <a:solidFill>
                      <a:sysClr val="windowText" lastClr="000000"/>
                    </a:solidFill>
                  </a:rPr>
                  <a:t>тона</a:t>
                </a:r>
              </a:p>
            </c:rich>
          </c:tx>
          <c:layout>
            <c:manualLayout>
              <c:xMode val="edge"/>
              <c:yMode val="edge"/>
              <c:x val="1.3888888888888888E-2"/>
              <c:y val="0.14255139982502188"/>
            </c:manualLayout>
          </c:layout>
          <c:overlay val="0"/>
          <c:spPr>
            <a:noFill/>
            <a:ln>
              <a:noFill/>
            </a:ln>
            <a:effectLst/>
          </c:spPr>
        </c:title>
        <c:numFmt formatCode="General" sourceLinked="1"/>
        <c:majorTickMark val="cross"/>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100792960"/>
        <c:crosses val="autoZero"/>
        <c:auto val="1"/>
        <c:lblAlgn val="ctr"/>
        <c:lblOffset val="100"/>
        <c:noMultiLvlLbl val="0"/>
      </c:catAx>
      <c:valAx>
        <c:axId val="100792960"/>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100791040"/>
        <c:crosses val="autoZero"/>
        <c:crossBetween val="between"/>
      </c:valAx>
      <c:serAx>
        <c:axId val="26382336"/>
        <c:scaling>
          <c:orientation val="minMax"/>
        </c:scaling>
        <c:delete val="1"/>
        <c:axPos val="b"/>
        <c:majorTickMark val="none"/>
        <c:minorTickMark val="none"/>
        <c:tickLblPos val="nextTo"/>
        <c:crossAx val="100792960"/>
        <c:crosses val="autoZero"/>
      </c:serAx>
      <c:spPr>
        <a:noFill/>
        <a:ln>
          <a:noFill/>
        </a:ln>
        <a:effectLst/>
      </c:spPr>
    </c:plotArea>
    <c:legend>
      <c:legendPos val="b"/>
      <c:layout>
        <c:manualLayout>
          <c:xMode val="edge"/>
          <c:yMode val="edge"/>
          <c:x val="0.75564700078175107"/>
          <c:y val="0.18113371245261009"/>
          <c:w val="0.15208832751734944"/>
          <c:h val="0.1521996208807232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0"/>
            <a:lumOff val="100000"/>
          </a:schemeClr>
        </a:gs>
        <a:gs pos="28000">
          <a:schemeClr val="accent1">
            <a:lumMod val="0"/>
            <a:lumOff val="100000"/>
          </a:schemeClr>
        </a:gs>
        <a:gs pos="100000">
          <a:schemeClr val="accent1">
            <a:lumMod val="100000"/>
          </a:schemeClr>
        </a:gs>
      </a:gsLst>
      <a:lin ang="16200000" scaled="1"/>
      <a:tileRect/>
    </a:gra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0" baseline="0">
                <a:ln w="0">
                  <a:solidFill>
                    <a:schemeClr val="accent1">
                      <a:lumMod val="75000"/>
                    </a:schemeClr>
                  </a:solidFill>
                </a:ln>
                <a:solidFill>
                  <a:schemeClr val="accent1">
                    <a:lumMod val="50000"/>
                  </a:schemeClr>
                </a:solidFill>
                <a:effectLst>
                  <a:outerShdw blurRad="38100" dist="25400" dir="5400000" algn="ctr" rotWithShape="0">
                    <a:srgbClr val="6E747A">
                      <a:alpha val="43000"/>
                    </a:srgbClr>
                  </a:outerShdw>
                  <a:reflection blurRad="6350" stA="50000" endA="300" endPos="50000" dist="60007" dir="5400000" sy="-100000" algn="bl" rotWithShape="0"/>
                </a:effectLst>
                <a:latin typeface="+mn-lt"/>
                <a:ea typeface="+mn-ea"/>
                <a:cs typeface="+mn-cs"/>
              </a:defRPr>
            </a:pPr>
            <a:r>
              <a:rPr lang="bg-BG" b="0" cap="none" spc="0">
                <a:ln w="0">
                  <a:solidFill>
                    <a:schemeClr val="accent1">
                      <a:lumMod val="75000"/>
                    </a:schemeClr>
                  </a:solidFill>
                </a:ln>
                <a:solidFill>
                  <a:schemeClr val="accent1">
                    <a:lumMod val="50000"/>
                  </a:schemeClr>
                </a:solidFill>
                <a:effectLst>
                  <a:outerShdw blurRad="38100" dist="25400" dir="5400000" algn="ctr" rotWithShape="0">
                    <a:srgbClr val="6E747A">
                      <a:alpha val="43000"/>
                    </a:srgbClr>
                  </a:outerShdw>
                  <a:reflection blurRad="6350" stA="50000" endA="300" endPos="50000" dist="60007" dir="5400000" sy="-100000" algn="bl" rotWithShape="0"/>
                </a:effectLst>
              </a:rPr>
              <a:t>Основни генерални товари</a:t>
            </a:r>
          </a:p>
          <a:p>
            <a:pPr>
              <a:defRPr sz="1400" b="0" i="0" u="none" strike="noStrike" kern="1200" cap="none" spc="0" baseline="0">
                <a:ln w="0">
                  <a:solidFill>
                    <a:schemeClr val="accent1">
                      <a:lumMod val="75000"/>
                    </a:schemeClr>
                  </a:solidFill>
                </a:ln>
                <a:solidFill>
                  <a:schemeClr val="accent1">
                    <a:lumMod val="50000"/>
                  </a:schemeClr>
                </a:solidFill>
                <a:effectLst>
                  <a:outerShdw blurRad="38100" dist="25400" dir="5400000" algn="ctr" rotWithShape="0">
                    <a:srgbClr val="6E747A">
                      <a:alpha val="43000"/>
                    </a:srgbClr>
                  </a:outerShdw>
                  <a:reflection blurRad="6350" stA="50000" endA="300" endPos="50000" dist="60007" dir="5400000" sy="-100000" algn="bl" rotWithShape="0"/>
                </a:effectLst>
                <a:latin typeface="+mn-lt"/>
                <a:ea typeface="+mn-ea"/>
                <a:cs typeface="+mn-cs"/>
              </a:defRPr>
            </a:pPr>
            <a:r>
              <a:rPr lang="bg-BG" b="0" cap="none" spc="0">
                <a:ln w="0">
                  <a:solidFill>
                    <a:schemeClr val="accent1">
                      <a:lumMod val="75000"/>
                    </a:schemeClr>
                  </a:solidFill>
                </a:ln>
                <a:solidFill>
                  <a:schemeClr val="accent1">
                    <a:lumMod val="50000"/>
                  </a:schemeClr>
                </a:solidFill>
                <a:effectLst>
                  <a:outerShdw blurRad="38100" dist="25400" dir="5400000" algn="ctr" rotWithShape="0">
                    <a:srgbClr val="6E747A">
                      <a:alpha val="43000"/>
                    </a:srgbClr>
                  </a:outerShdw>
                  <a:reflection blurRad="6350" stA="50000" endA="300" endPos="50000" dist="60007" dir="5400000" sy="-100000" algn="bl" rotWithShape="0"/>
                </a:effectLst>
              </a:rPr>
              <a:t>201</a:t>
            </a:r>
            <a:r>
              <a:rPr lang="en-US" b="0" cap="none" spc="0">
                <a:ln w="0">
                  <a:solidFill>
                    <a:schemeClr val="accent1">
                      <a:lumMod val="75000"/>
                    </a:schemeClr>
                  </a:solidFill>
                </a:ln>
                <a:solidFill>
                  <a:schemeClr val="accent1">
                    <a:lumMod val="50000"/>
                  </a:schemeClr>
                </a:solidFill>
                <a:effectLst>
                  <a:outerShdw blurRad="38100" dist="25400" dir="5400000" algn="ctr" rotWithShape="0">
                    <a:srgbClr val="6E747A">
                      <a:alpha val="43000"/>
                    </a:srgbClr>
                  </a:outerShdw>
                  <a:reflection blurRad="6350" stA="50000" endA="300" endPos="50000" dist="60007" dir="5400000" sy="-100000" algn="bl" rotWithShape="0"/>
                </a:effectLst>
              </a:rPr>
              <a:t>9</a:t>
            </a:r>
            <a:r>
              <a:rPr lang="bg-BG" b="0" cap="none" spc="0">
                <a:ln w="0">
                  <a:solidFill>
                    <a:schemeClr val="accent1">
                      <a:lumMod val="75000"/>
                    </a:schemeClr>
                  </a:solidFill>
                </a:ln>
                <a:solidFill>
                  <a:schemeClr val="accent1">
                    <a:lumMod val="50000"/>
                  </a:schemeClr>
                </a:solidFill>
                <a:effectLst>
                  <a:outerShdw blurRad="38100" dist="25400" dir="5400000" algn="ctr" rotWithShape="0">
                    <a:srgbClr val="6E747A">
                      <a:alpha val="43000"/>
                    </a:srgbClr>
                  </a:outerShdw>
                  <a:reflection blurRad="6350" stA="50000" endA="300" endPos="50000" dist="60007" dir="5400000" sy="-100000" algn="bl" rotWithShape="0"/>
                </a:effectLst>
              </a:rPr>
              <a:t>г.</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3696081800524"/>
          <c:y val="7.9537037037037031E-2"/>
          <c:w val="0.85913429571303579"/>
          <c:h val="0.83216025080198308"/>
        </c:manualLayout>
      </c:layout>
      <c:bar3DChart>
        <c:barDir val="col"/>
        <c:grouping val="standard"/>
        <c:varyColors val="0"/>
        <c:ser>
          <c:idx val="0"/>
          <c:order val="0"/>
          <c:tx>
            <c:strRef>
              <c:f>'[Таблици-ГФО-Анализ Търг.част.xlsx]Лист1'!$A$71</c:f>
              <c:strCache>
                <c:ptCount val="1"/>
                <c:pt idx="0">
                  <c:v>2019</c:v>
                </c:pt>
              </c:strCache>
            </c:strRef>
          </c:tx>
          <c:spPr>
            <a:solidFill>
              <a:schemeClr val="accent1"/>
            </a:solidFill>
            <a:ln>
              <a:noFill/>
            </a:ln>
            <a:effectLst/>
            <a:sp3d/>
          </c:spPr>
          <c:invertIfNegative val="0"/>
          <c:val>
            <c:numRef>
              <c:f>'[Таблици-ГФО-Анализ Търг.част.xlsx]Лист1'!$B$71:$F$71</c:f>
              <c:numCache>
                <c:formatCode>General</c:formatCode>
                <c:ptCount val="5"/>
                <c:pt idx="0" formatCode="0.000">
                  <c:v>145.29300000000001</c:v>
                </c:pt>
                <c:pt idx="1">
                  <c:v>103.093</c:v>
                </c:pt>
                <c:pt idx="2" formatCode="0.000">
                  <c:v>0</c:v>
                </c:pt>
                <c:pt idx="3">
                  <c:v>16.876000000000001</c:v>
                </c:pt>
                <c:pt idx="4" formatCode="0.000">
                  <c:v>7.109</c:v>
                </c:pt>
              </c:numCache>
            </c:numRef>
          </c:val>
          <c:extLst>
            <c:ext xmlns:c16="http://schemas.microsoft.com/office/drawing/2014/chart" uri="{C3380CC4-5D6E-409C-BE32-E72D297353CC}">
              <c16:uniqueId val="{00000000-8150-408C-AF44-5FE2D0A0B0CC}"/>
            </c:ext>
          </c:extLst>
        </c:ser>
        <c:ser>
          <c:idx val="1"/>
          <c:order val="1"/>
          <c:tx>
            <c:strRef>
              <c:f>'[Таблици-ГФО-Анализ Търг.част.xlsx]Лист1'!$A$72</c:f>
              <c:strCache>
                <c:ptCount val="1"/>
                <c:pt idx="0">
                  <c:v>2018</c:v>
                </c:pt>
              </c:strCache>
            </c:strRef>
          </c:tx>
          <c:spPr>
            <a:solidFill>
              <a:srgbClr val="FFFF00"/>
            </a:solidFill>
            <a:ln>
              <a:solidFill>
                <a:schemeClr val="bg1">
                  <a:lumMod val="50000"/>
                </a:schemeClr>
              </a:solidFill>
            </a:ln>
            <a:effectLst/>
            <a:sp3d>
              <a:contourClr>
                <a:schemeClr val="bg1">
                  <a:lumMod val="50000"/>
                </a:schemeClr>
              </a:contourClr>
            </a:sp3d>
          </c:spPr>
          <c:invertIfNegative val="0"/>
          <c:cat>
            <c:strRef>
              <c:f>'[Таблици-ГФО-Анализ Търг.част.xlsx]Лист1'!$B$70:$F$70</c:f>
              <c:strCache>
                <c:ptCount val="5"/>
                <c:pt idx="0">
                  <c:v>Общо</c:v>
                </c:pt>
                <c:pt idx="1">
                  <c:v>Метали</c:v>
                </c:pt>
                <c:pt idx="2">
                  <c:v>Трейлери</c:v>
                </c:pt>
                <c:pt idx="3">
                  <c:v>Машини</c:v>
                </c:pt>
                <c:pt idx="4">
                  <c:v>Ро-ро</c:v>
                </c:pt>
              </c:strCache>
            </c:strRef>
          </c:cat>
          <c:val>
            <c:numRef>
              <c:f>'[Таблици-ГФО-Анализ Търг.част.xlsx]Лист1'!$B$72:$F$72</c:f>
              <c:numCache>
                <c:formatCode>General</c:formatCode>
                <c:ptCount val="5"/>
                <c:pt idx="0" formatCode="0.000">
                  <c:v>158.691</c:v>
                </c:pt>
                <c:pt idx="1">
                  <c:v>109.46599999999999</c:v>
                </c:pt>
                <c:pt idx="2" formatCode="0.000">
                  <c:v>0</c:v>
                </c:pt>
                <c:pt idx="3">
                  <c:v>31.039000000000001</c:v>
                </c:pt>
                <c:pt idx="4" formatCode="0.000">
                  <c:v>8.1690000000000005</c:v>
                </c:pt>
              </c:numCache>
            </c:numRef>
          </c:val>
          <c:extLst>
            <c:ext xmlns:c16="http://schemas.microsoft.com/office/drawing/2014/chart" uri="{C3380CC4-5D6E-409C-BE32-E72D297353CC}">
              <c16:uniqueId val="{00000001-A90C-42BF-A98A-C15C17B5E5BA}"/>
            </c:ext>
          </c:extLst>
        </c:ser>
        <c:dLbls>
          <c:showLegendKey val="0"/>
          <c:showVal val="0"/>
          <c:showCatName val="0"/>
          <c:showSerName val="0"/>
          <c:showPercent val="0"/>
          <c:showBubbleSize val="0"/>
        </c:dLbls>
        <c:gapWidth val="150"/>
        <c:shape val="box"/>
        <c:axId val="100837632"/>
        <c:axId val="100839808"/>
        <c:axId val="26391872"/>
      </c:bar3DChart>
      <c:catAx>
        <c:axId val="100837632"/>
        <c:scaling>
          <c:orientation val="minMax"/>
        </c:scaling>
        <c:delete val="0"/>
        <c:axPos val="b"/>
        <c:title>
          <c:tx>
            <c:rich>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r>
                  <a:rPr lang="bg-BG" sz="900" i="1">
                    <a:solidFill>
                      <a:sysClr val="windowText" lastClr="000000"/>
                    </a:solidFill>
                  </a:rPr>
                  <a:t>хил.физ.</a:t>
                </a:r>
              </a:p>
              <a:p>
                <a:pPr>
                  <a:defRPr sz="900" b="0" i="1" u="none" strike="noStrike" kern="1200" baseline="0">
                    <a:solidFill>
                      <a:sysClr val="windowText" lastClr="000000"/>
                    </a:solidFill>
                    <a:latin typeface="+mn-lt"/>
                    <a:ea typeface="+mn-ea"/>
                    <a:cs typeface="+mn-cs"/>
                  </a:defRPr>
                </a:pPr>
                <a:r>
                  <a:rPr lang="bg-BG" sz="900" i="1">
                    <a:solidFill>
                      <a:sysClr val="windowText" lastClr="000000"/>
                    </a:solidFill>
                  </a:rPr>
                  <a:t>тона</a:t>
                </a:r>
              </a:p>
            </c:rich>
          </c:tx>
          <c:layout>
            <c:manualLayout>
              <c:xMode val="edge"/>
              <c:yMode val="edge"/>
              <c:x val="1.3888888888888888E-2"/>
              <c:y val="0.18414734616506268"/>
            </c:manualLayout>
          </c:layout>
          <c:overlay val="0"/>
          <c:spPr>
            <a:noFill/>
            <a:ln>
              <a:noFill/>
            </a:ln>
            <a:effectLst/>
          </c:spPr>
        </c:title>
        <c:numFmt formatCode="General" sourceLinked="1"/>
        <c:majorTickMark val="cross"/>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100839808"/>
        <c:crosses val="autoZero"/>
        <c:auto val="1"/>
        <c:lblAlgn val="ctr"/>
        <c:lblOffset val="100"/>
        <c:noMultiLvlLbl val="0"/>
      </c:catAx>
      <c:valAx>
        <c:axId val="100839808"/>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100837632"/>
        <c:crosses val="autoZero"/>
        <c:crossBetween val="between"/>
      </c:valAx>
      <c:serAx>
        <c:axId val="26391872"/>
        <c:scaling>
          <c:orientation val="minMax"/>
        </c:scaling>
        <c:delete val="1"/>
        <c:axPos val="b"/>
        <c:majorTickMark val="none"/>
        <c:minorTickMark val="none"/>
        <c:tickLblPos val="nextTo"/>
        <c:crossAx val="100839808"/>
        <c:crosses val="autoZero"/>
      </c:serAx>
      <c:spPr>
        <a:noFill/>
        <a:ln>
          <a:noFill/>
        </a:ln>
        <a:effectLst/>
      </c:spPr>
    </c:plotArea>
    <c:legend>
      <c:legendPos val="b"/>
      <c:layout>
        <c:manualLayout>
          <c:xMode val="edge"/>
          <c:yMode val="edge"/>
          <c:x val="0.81735608048993891"/>
          <c:y val="0.25983741615631373"/>
          <c:w val="0.15468499132720892"/>
          <c:h val="0.147569991251093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2">
            <a:lumMod val="5000"/>
            <a:lumOff val="95000"/>
          </a:schemeClr>
        </a:gs>
        <a:gs pos="76000">
          <a:schemeClr val="accent2">
            <a:lumMod val="45000"/>
            <a:lumOff val="55000"/>
          </a:schemeClr>
        </a:gs>
        <a:gs pos="100000">
          <a:schemeClr val="accent2">
            <a:lumMod val="60000"/>
            <a:lumOff val="40000"/>
          </a:schemeClr>
        </a:gs>
      </a:gsLst>
      <a:lin ang="5400000" scaled="1"/>
      <a:tileRect/>
    </a:gra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a:t>2019</a:t>
            </a:r>
          </a:p>
        </c:rich>
      </c:tx>
      <c:overlay val="0"/>
      <c:spPr>
        <a:noFill/>
        <a:ln w="25400">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6198540250961774E-2"/>
          <c:y val="0.33314827172027223"/>
          <c:w val="0.85673533958940062"/>
          <c:h val="0.55949508430090311"/>
        </c:manualLayout>
      </c:layout>
      <c:pie3DChart>
        <c:varyColors val="1"/>
        <c:ser>
          <c:idx val="0"/>
          <c:order val="0"/>
          <c:tx>
            <c:strRef>
              <c:f>'[Таблици-ГФО-Анализ Търг.част.xlsx]Лист1'!$A$25</c:f>
              <c:strCache>
                <c:ptCount val="1"/>
                <c:pt idx="0">
                  <c:v>2019</c:v>
                </c:pt>
              </c:strCache>
            </c:strRef>
          </c:tx>
          <c:spPr>
            <a:ln>
              <a:solidFill>
                <a:schemeClr val="bg1"/>
              </a:solidFill>
            </a:ln>
          </c:spPr>
          <c:dPt>
            <c:idx val="0"/>
            <c:bubble3D val="0"/>
            <c:spPr>
              <a:solidFill>
                <a:schemeClr val="accent1"/>
              </a:solidFill>
              <a:ln w="9525">
                <a:solidFill>
                  <a:schemeClr val="bg1"/>
                </a:solidFill>
              </a:ln>
              <a:effectLst/>
              <a:sp3d contourW="25400">
                <a:contourClr>
                  <a:schemeClr val="lt1"/>
                </a:contourClr>
              </a:sp3d>
            </c:spPr>
            <c:extLst>
              <c:ext xmlns:c16="http://schemas.microsoft.com/office/drawing/2014/chart" uri="{C3380CC4-5D6E-409C-BE32-E72D297353CC}">
                <c16:uniqueId val="{00000000-874F-48AD-A732-44721D80E682}"/>
              </c:ext>
            </c:extLst>
          </c:dPt>
          <c:dPt>
            <c:idx val="1"/>
            <c:bubble3D val="0"/>
            <c:spPr>
              <a:solidFill>
                <a:schemeClr val="accent2"/>
              </a:solidFill>
              <a:ln w="12700">
                <a:solidFill>
                  <a:schemeClr val="bg1"/>
                </a:solidFill>
              </a:ln>
              <a:effectLst/>
              <a:sp3d contourW="25400">
                <a:contourClr>
                  <a:schemeClr val="lt1"/>
                </a:contourClr>
              </a:sp3d>
            </c:spPr>
            <c:extLst>
              <c:ext xmlns:c16="http://schemas.microsoft.com/office/drawing/2014/chart" uri="{C3380CC4-5D6E-409C-BE32-E72D297353CC}">
                <c16:uniqueId val="{00000001-874F-48AD-A732-44721D80E682}"/>
              </c:ext>
            </c:extLst>
          </c:dPt>
          <c:dPt>
            <c:idx val="2"/>
            <c:bubble3D val="0"/>
            <c:spPr>
              <a:solidFill>
                <a:schemeClr val="accent3"/>
              </a:solidFill>
              <a:ln w="12700">
                <a:solidFill>
                  <a:schemeClr val="bg1"/>
                </a:solidFill>
              </a:ln>
              <a:effectLst/>
              <a:sp3d contourW="25400">
                <a:contourClr>
                  <a:schemeClr val="lt1"/>
                </a:contourClr>
              </a:sp3d>
            </c:spPr>
            <c:extLst>
              <c:ext xmlns:c16="http://schemas.microsoft.com/office/drawing/2014/chart" uri="{C3380CC4-5D6E-409C-BE32-E72D297353CC}">
                <c16:uniqueId val="{00000002-874F-48AD-A732-44721D80E682}"/>
              </c:ext>
            </c:extLst>
          </c:dPt>
          <c:dLbls>
            <c:dLbl>
              <c:idx val="0"/>
              <c:tx>
                <c:rich>
                  <a:bodyPr/>
                  <a:lstStyle/>
                  <a:p>
                    <a:r>
                      <a:rPr lang="en-US"/>
                      <a:t>64%</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4F-48AD-A732-44721D80E682}"/>
                </c:ext>
              </c:extLst>
            </c:dLbl>
            <c:dLbl>
              <c:idx val="1"/>
              <c:tx>
                <c:rich>
                  <a:bodyPr/>
                  <a:lstStyle/>
                  <a:p>
                    <a:r>
                      <a:rPr lang="en-US"/>
                      <a:t>15%</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4F-48AD-A732-44721D80E682}"/>
                </c:ext>
              </c:extLst>
            </c:dLbl>
            <c:dLbl>
              <c:idx val="2"/>
              <c:tx>
                <c:rich>
                  <a:bodyPr/>
                  <a:lstStyle/>
                  <a:p>
                    <a:r>
                      <a:rPr lang="en-US"/>
                      <a:t>21%</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4F-48AD-A732-44721D80E682}"/>
                </c:ext>
              </c:extLst>
            </c:dLbl>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bg-BG"/>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'[Таблици-ГФО-Анализ Търг.част.xlsx]Лист1'!$B$24:$D$24</c:f>
              <c:strCache>
                <c:ptCount val="3"/>
                <c:pt idx="0">
                  <c:v>Внос</c:v>
                </c:pt>
                <c:pt idx="1">
                  <c:v>Износ</c:v>
                </c:pt>
                <c:pt idx="2">
                  <c:v>Крайбр./транс.</c:v>
                </c:pt>
              </c:strCache>
            </c:strRef>
          </c:cat>
          <c:val>
            <c:numRef>
              <c:f>'[Таблици-ГФО-Анализ Търг.част.xlsx]Лист1'!$B$25:$D$25</c:f>
              <c:numCache>
                <c:formatCode>General</c:formatCode>
                <c:ptCount val="3"/>
                <c:pt idx="0">
                  <c:v>64</c:v>
                </c:pt>
                <c:pt idx="1">
                  <c:v>15</c:v>
                </c:pt>
                <c:pt idx="2">
                  <c:v>21</c:v>
                </c:pt>
              </c:numCache>
            </c:numRef>
          </c:val>
          <c:extLst>
            <c:ext xmlns:c16="http://schemas.microsoft.com/office/drawing/2014/chart" uri="{C3380CC4-5D6E-409C-BE32-E72D297353CC}">
              <c16:uniqueId val="{00000003-874F-48AD-A732-44721D80E682}"/>
            </c:ext>
          </c:extLst>
        </c:ser>
        <c:dLbls>
          <c:showLegendKey val="0"/>
          <c:showVal val="0"/>
          <c:showCatName val="0"/>
          <c:showSerName val="0"/>
          <c:showPercent val="0"/>
          <c:showBubbleSize val="0"/>
          <c:showLeaderLines val="1"/>
        </c:dLbls>
      </c:pie3DChart>
      <c:spPr>
        <a:noFill/>
        <a:ln w="25400">
          <a:noFill/>
        </a:ln>
      </c:spPr>
    </c:plotArea>
    <c:legend>
      <c:legendPos val="t"/>
      <c:overlay val="0"/>
      <c:spPr>
        <a:noFill/>
        <a:ln w="25400">
          <a:noFill/>
        </a:ln>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a:t>2018</a:t>
            </a:r>
          </a:p>
        </c:rich>
      </c:tx>
      <c:overlay val="0"/>
      <c:spPr>
        <a:noFill/>
        <a:ln w="25400">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6198540250961774E-2"/>
          <c:y val="0.33314827172027223"/>
          <c:w val="0.85673533958940062"/>
          <c:h val="0.55949508430090311"/>
        </c:manualLayout>
      </c:layout>
      <c:pie3DChart>
        <c:varyColors val="1"/>
        <c:ser>
          <c:idx val="0"/>
          <c:order val="0"/>
          <c:tx>
            <c:strRef>
              <c:f>'[Таблици-ГФО-Анализ Търг.част.xlsx]Лист1'!$A$25</c:f>
              <c:strCache>
                <c:ptCount val="1"/>
                <c:pt idx="0">
                  <c:v>2018</c:v>
                </c:pt>
              </c:strCache>
            </c:strRef>
          </c:tx>
          <c:spPr>
            <a:ln>
              <a:solidFill>
                <a:schemeClr val="bg1"/>
              </a:solidFill>
            </a:ln>
          </c:spPr>
          <c:dPt>
            <c:idx val="0"/>
            <c:bubble3D val="0"/>
            <c:spPr>
              <a:solidFill>
                <a:srgbClr val="4472C4"/>
              </a:solidFill>
              <a:ln w="9525">
                <a:solidFill>
                  <a:schemeClr val="bg1"/>
                </a:solidFill>
              </a:ln>
              <a:effectLst/>
              <a:sp3d contourW="25400">
                <a:contourClr>
                  <a:schemeClr val="lt1"/>
                </a:contourClr>
              </a:sp3d>
            </c:spPr>
            <c:extLst>
              <c:ext xmlns:c16="http://schemas.microsoft.com/office/drawing/2014/chart" uri="{C3380CC4-5D6E-409C-BE32-E72D297353CC}">
                <c16:uniqueId val="{00000001-9C2F-49A0-8475-2A85332FC296}"/>
              </c:ext>
            </c:extLst>
          </c:dPt>
          <c:dPt>
            <c:idx val="1"/>
            <c:bubble3D val="0"/>
            <c:spPr>
              <a:solidFill>
                <a:schemeClr val="accent2"/>
              </a:solidFill>
              <a:ln w="12700">
                <a:solidFill>
                  <a:schemeClr val="bg1"/>
                </a:solidFill>
              </a:ln>
              <a:effectLst/>
              <a:sp3d contourW="25400">
                <a:contourClr>
                  <a:schemeClr val="lt1"/>
                </a:contourClr>
              </a:sp3d>
            </c:spPr>
            <c:extLst>
              <c:ext xmlns:c16="http://schemas.microsoft.com/office/drawing/2014/chart" uri="{C3380CC4-5D6E-409C-BE32-E72D297353CC}">
                <c16:uniqueId val="{00000003-9C2F-49A0-8475-2A85332FC296}"/>
              </c:ext>
            </c:extLst>
          </c:dPt>
          <c:dPt>
            <c:idx val="2"/>
            <c:bubble3D val="0"/>
            <c:spPr>
              <a:solidFill>
                <a:schemeClr val="accent3"/>
              </a:solidFill>
              <a:ln w="12700">
                <a:solidFill>
                  <a:schemeClr val="bg1"/>
                </a:solidFill>
              </a:ln>
              <a:effectLst/>
              <a:sp3d contourW="25400">
                <a:contourClr>
                  <a:schemeClr val="lt1"/>
                </a:contourClr>
              </a:sp3d>
            </c:spPr>
            <c:extLst>
              <c:ext xmlns:c16="http://schemas.microsoft.com/office/drawing/2014/chart" uri="{C3380CC4-5D6E-409C-BE32-E72D297353CC}">
                <c16:uniqueId val="{00000005-9C2F-49A0-8475-2A85332FC296}"/>
              </c:ext>
            </c:extLst>
          </c:dPt>
          <c:dLbls>
            <c:dLbl>
              <c:idx val="0"/>
              <c:layout>
                <c:manualLayout>
                  <c:x val="-0.15068529105094741"/>
                  <c:y val="-0.20004537568397171"/>
                </c:manualLayout>
              </c:layout>
              <c:tx>
                <c:rich>
                  <a:bodyPr/>
                  <a:lstStyle/>
                  <a:p>
                    <a:r>
                      <a:rPr lang="en-US"/>
                      <a:t>73%</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2F-49A0-8475-2A85332FC296}"/>
                </c:ext>
              </c:extLst>
            </c:dLbl>
            <c:dLbl>
              <c:idx val="1"/>
              <c:tx>
                <c:rich>
                  <a:bodyPr/>
                  <a:lstStyle/>
                  <a:p>
                    <a:r>
                      <a:rPr lang="en-US"/>
                      <a:t>15%</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2F-49A0-8475-2A85332FC296}"/>
                </c:ext>
              </c:extLst>
            </c:dLbl>
            <c:dLbl>
              <c:idx val="2"/>
              <c:tx>
                <c:rich>
                  <a:bodyPr/>
                  <a:lstStyle/>
                  <a:p>
                    <a:r>
                      <a:rPr lang="en-US"/>
                      <a:t>12%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2F-49A0-8475-2A85332FC296}"/>
                </c:ext>
              </c:extLst>
            </c:dLbl>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bg-BG"/>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'[Таблици-ГФО-Анализ Търг.част.xlsx]Лист1'!$B$24:$D$24</c:f>
              <c:strCache>
                <c:ptCount val="3"/>
                <c:pt idx="0">
                  <c:v>Внос</c:v>
                </c:pt>
                <c:pt idx="1">
                  <c:v>Износ</c:v>
                </c:pt>
                <c:pt idx="2">
                  <c:v>Крайбр./транс.</c:v>
                </c:pt>
              </c:strCache>
            </c:strRef>
          </c:cat>
          <c:val>
            <c:numRef>
              <c:f>'[Таблици-ГФО-Анализ Търг.част.xlsx]Лист1'!$B$25:$D$25</c:f>
              <c:numCache>
                <c:formatCode>General</c:formatCode>
                <c:ptCount val="3"/>
                <c:pt idx="0">
                  <c:v>73</c:v>
                </c:pt>
                <c:pt idx="1">
                  <c:v>15</c:v>
                </c:pt>
                <c:pt idx="2">
                  <c:v>12</c:v>
                </c:pt>
              </c:numCache>
            </c:numRef>
          </c:val>
          <c:extLst>
            <c:ext xmlns:c16="http://schemas.microsoft.com/office/drawing/2014/chart" uri="{C3380CC4-5D6E-409C-BE32-E72D297353CC}">
              <c16:uniqueId val="{00000006-9C2F-49A0-8475-2A85332FC296}"/>
            </c:ext>
          </c:extLst>
        </c:ser>
        <c:dLbls>
          <c:showLegendKey val="0"/>
          <c:showVal val="0"/>
          <c:showCatName val="0"/>
          <c:showSerName val="0"/>
          <c:showPercent val="0"/>
          <c:showBubbleSize val="0"/>
          <c:showLeaderLines val="1"/>
        </c:dLbls>
      </c:pie3DChart>
      <c:spPr>
        <a:noFill/>
        <a:ln w="25400">
          <a:noFill/>
        </a:ln>
      </c:spPr>
    </c:plotArea>
    <c:legend>
      <c:legendPos val="t"/>
      <c:overlay val="0"/>
      <c:spPr>
        <a:noFill/>
        <a:ln w="25400">
          <a:noFill/>
        </a:ln>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Товарооборот</a:t>
            </a:r>
            <a:r>
              <a:rPr lang="bg-BG" baseline="0"/>
              <a:t> по клиенти</a:t>
            </a:r>
            <a:endParaRPr lang="bg-BG"/>
          </a:p>
        </c:rich>
      </c:tx>
      <c:layout>
        <c:manualLayout>
          <c:xMode val="edge"/>
          <c:yMode val="edge"/>
          <c:x val="0.31832611889731222"/>
          <c:y val="3.7499999999999999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857112423931747E-2"/>
          <c:y val="4.620833333333333E-2"/>
          <c:w val="0.9240026427542507"/>
          <c:h val="0.63106135170603672"/>
        </c:manualLayout>
      </c:layout>
      <c:bar3DChart>
        <c:barDir val="col"/>
        <c:grouping val="clustered"/>
        <c:varyColors val="0"/>
        <c:ser>
          <c:idx val="0"/>
          <c:order val="0"/>
          <c:tx>
            <c:strRef>
              <c:f>'[Таблици-ГФО-Анализ Търг.част.xlsx]Лист1'!$B$87</c:f>
              <c:strCache>
                <c:ptCount val="1"/>
                <c:pt idx="0">
                  <c:v>2019</c:v>
                </c:pt>
              </c:strCache>
            </c:strRef>
          </c:tx>
          <c:spPr>
            <a:solidFill>
              <a:schemeClr val="accent1"/>
            </a:solidFill>
            <a:ln>
              <a:noFill/>
            </a:ln>
            <a:effectLst/>
            <a:sp3d/>
          </c:spPr>
          <c:invertIfNegative val="0"/>
          <c:cat>
            <c:strRef>
              <c:f>'[Таблици-ГФО-Анализ Търг.част.xlsx]Лист1'!$A$88:$A$98</c:f>
              <c:strCache>
                <c:ptCount val="11"/>
                <c:pt idx="0">
                  <c:v>ТЕЦ-РУСЕ ЕАД</c:v>
                </c:pt>
                <c:pt idx="1">
                  <c:v>Руб.Транспорт ООД</c:v>
                </c:pt>
                <c:pt idx="2">
                  <c:v>Промет стиил ЕАД</c:v>
                </c:pt>
                <c:pt idx="3">
                  <c:v>Ритъм-4-ТБ ЕООД</c:v>
                </c:pt>
                <c:pt idx="4">
                  <c:v>Каолин ЕАД</c:v>
                </c:pt>
                <c:pt idx="5">
                  <c:v>ЕТ Л. Стоянов-Автоман</c:v>
                </c:pt>
                <c:pt idx="6">
                  <c:v>Интерком Спед</c:v>
                </c:pt>
                <c:pt idx="7">
                  <c:v>Холлеман България ООД</c:v>
                </c:pt>
                <c:pt idx="8">
                  <c:v>ПИМК ООД</c:v>
                </c:pt>
                <c:pt idx="9">
                  <c:v>Октопод С ЕООД</c:v>
                </c:pt>
                <c:pt idx="10">
                  <c:v>Юнитранс ООД</c:v>
                </c:pt>
              </c:strCache>
            </c:strRef>
          </c:cat>
          <c:val>
            <c:numRef>
              <c:f>'[Таблици-ГФО-Анализ Търг.част.xlsx]Лист1'!$B$88:$B$98</c:f>
              <c:numCache>
                <c:formatCode>General</c:formatCode>
                <c:ptCount val="11"/>
                <c:pt idx="0">
                  <c:v>96</c:v>
                </c:pt>
                <c:pt idx="1">
                  <c:v>94</c:v>
                </c:pt>
                <c:pt idx="2">
                  <c:v>28</c:v>
                </c:pt>
                <c:pt idx="3">
                  <c:v>10</c:v>
                </c:pt>
                <c:pt idx="4">
                  <c:v>36</c:v>
                </c:pt>
                <c:pt idx="5">
                  <c:v>11</c:v>
                </c:pt>
                <c:pt idx="6">
                  <c:v>46</c:v>
                </c:pt>
                <c:pt idx="7">
                  <c:v>15</c:v>
                </c:pt>
                <c:pt idx="8">
                  <c:v>0</c:v>
                </c:pt>
                <c:pt idx="9">
                  <c:v>0</c:v>
                </c:pt>
                <c:pt idx="10">
                  <c:v>5</c:v>
                </c:pt>
              </c:numCache>
            </c:numRef>
          </c:val>
          <c:extLst>
            <c:ext xmlns:c16="http://schemas.microsoft.com/office/drawing/2014/chart" uri="{C3380CC4-5D6E-409C-BE32-E72D297353CC}">
              <c16:uniqueId val="{00000000-6B9F-4488-9728-6B6A9A49AD64}"/>
            </c:ext>
          </c:extLst>
        </c:ser>
        <c:ser>
          <c:idx val="1"/>
          <c:order val="1"/>
          <c:tx>
            <c:strRef>
              <c:f>'[Таблици-ГФО-Анализ Търг.част.xlsx]Лист1'!$C$87</c:f>
              <c:strCache>
                <c:ptCount val="1"/>
                <c:pt idx="0">
                  <c:v>2018</c:v>
                </c:pt>
              </c:strCache>
            </c:strRef>
          </c:tx>
          <c:spPr>
            <a:solidFill>
              <a:schemeClr val="accent2"/>
            </a:solidFill>
            <a:ln>
              <a:noFill/>
            </a:ln>
            <a:effectLst/>
            <a:sp3d/>
          </c:spPr>
          <c:invertIfNegative val="0"/>
          <c:cat>
            <c:strRef>
              <c:f>'[Таблици-ГФО-Анализ Търг.част.xlsx]Лист1'!$A$88:$A$98</c:f>
              <c:strCache>
                <c:ptCount val="11"/>
                <c:pt idx="0">
                  <c:v>ТЕЦ-РУСЕ ЕАД</c:v>
                </c:pt>
                <c:pt idx="1">
                  <c:v>Руб.Транспорт ООД</c:v>
                </c:pt>
                <c:pt idx="2">
                  <c:v>Промет стиил ЕАД</c:v>
                </c:pt>
                <c:pt idx="3">
                  <c:v>Ритъм-4-ТБ ЕООД</c:v>
                </c:pt>
                <c:pt idx="4">
                  <c:v>Каолин ЕАД</c:v>
                </c:pt>
                <c:pt idx="5">
                  <c:v>ЕТ Л. Стоянов-Автоман</c:v>
                </c:pt>
                <c:pt idx="6">
                  <c:v>Интерком Спед</c:v>
                </c:pt>
                <c:pt idx="7">
                  <c:v>Холлеман България ООД</c:v>
                </c:pt>
                <c:pt idx="8">
                  <c:v>ПИМК ООД</c:v>
                </c:pt>
                <c:pt idx="9">
                  <c:v>Октопод С ЕООД</c:v>
                </c:pt>
                <c:pt idx="10">
                  <c:v>Юнитранс ООД</c:v>
                </c:pt>
              </c:strCache>
            </c:strRef>
          </c:cat>
          <c:val>
            <c:numRef>
              <c:f>'[Таблици-ГФО-Анализ Търг.част.xlsx]Лист1'!$C$88:$C$98</c:f>
              <c:numCache>
                <c:formatCode>General</c:formatCode>
                <c:ptCount val="11"/>
                <c:pt idx="0">
                  <c:v>170</c:v>
                </c:pt>
                <c:pt idx="1">
                  <c:v>83</c:v>
                </c:pt>
                <c:pt idx="2">
                  <c:v>54</c:v>
                </c:pt>
                <c:pt idx="3">
                  <c:v>40</c:v>
                </c:pt>
                <c:pt idx="4">
                  <c:v>38</c:v>
                </c:pt>
                <c:pt idx="5">
                  <c:v>38</c:v>
                </c:pt>
                <c:pt idx="6">
                  <c:v>33</c:v>
                </c:pt>
                <c:pt idx="7">
                  <c:v>16</c:v>
                </c:pt>
                <c:pt idx="8">
                  <c:v>0</c:v>
                </c:pt>
                <c:pt idx="9">
                  <c:v>13</c:v>
                </c:pt>
                <c:pt idx="10">
                  <c:v>5</c:v>
                </c:pt>
              </c:numCache>
            </c:numRef>
          </c:val>
          <c:extLst>
            <c:ext xmlns:c16="http://schemas.microsoft.com/office/drawing/2014/chart" uri="{C3380CC4-5D6E-409C-BE32-E72D297353CC}">
              <c16:uniqueId val="{00000001-6B9F-4488-9728-6B6A9A49AD64}"/>
            </c:ext>
          </c:extLst>
        </c:ser>
        <c:ser>
          <c:idx val="2"/>
          <c:order val="2"/>
          <c:tx>
            <c:strRef>
              <c:f>'[Таблици-ГФО-Анализ Търг.част.xlsx]Лист1'!$D$87</c:f>
              <c:strCache>
                <c:ptCount val="1"/>
                <c:pt idx="0">
                  <c:v>2017</c:v>
                </c:pt>
              </c:strCache>
            </c:strRef>
          </c:tx>
          <c:spPr>
            <a:solidFill>
              <a:schemeClr val="accent3"/>
            </a:solidFill>
            <a:ln>
              <a:noFill/>
            </a:ln>
            <a:effectLst/>
            <a:sp3d/>
          </c:spPr>
          <c:invertIfNegative val="0"/>
          <c:cat>
            <c:strRef>
              <c:f>'[Таблици-ГФО-Анализ Търг.част.xlsx]Лист1'!$A$88:$A$98</c:f>
              <c:strCache>
                <c:ptCount val="11"/>
                <c:pt idx="0">
                  <c:v>ТЕЦ-РУСЕ ЕАД</c:v>
                </c:pt>
                <c:pt idx="1">
                  <c:v>Руб.Транспорт ООД</c:v>
                </c:pt>
                <c:pt idx="2">
                  <c:v>Промет стиил ЕАД</c:v>
                </c:pt>
                <c:pt idx="3">
                  <c:v>Ритъм-4-ТБ ЕООД</c:v>
                </c:pt>
                <c:pt idx="4">
                  <c:v>Каолин ЕАД</c:v>
                </c:pt>
                <c:pt idx="5">
                  <c:v>ЕТ Л. Стоянов-Автоман</c:v>
                </c:pt>
                <c:pt idx="6">
                  <c:v>Интерком Спед</c:v>
                </c:pt>
                <c:pt idx="7">
                  <c:v>Холлеман България ООД</c:v>
                </c:pt>
                <c:pt idx="8">
                  <c:v>ПИМК ООД</c:v>
                </c:pt>
                <c:pt idx="9">
                  <c:v>Октопод С ЕООД</c:v>
                </c:pt>
                <c:pt idx="10">
                  <c:v>Юнитранс ООД</c:v>
                </c:pt>
              </c:strCache>
            </c:strRef>
          </c:cat>
          <c:val>
            <c:numRef>
              <c:f>'[Таблици-ГФО-Анализ Търг.част.xlsx]Лист1'!$D$88:$D$98</c:f>
              <c:numCache>
                <c:formatCode>General</c:formatCode>
                <c:ptCount val="11"/>
                <c:pt idx="0">
                  <c:v>140</c:v>
                </c:pt>
                <c:pt idx="1">
                  <c:v>60</c:v>
                </c:pt>
                <c:pt idx="2">
                  <c:v>13</c:v>
                </c:pt>
                <c:pt idx="3">
                  <c:v>90</c:v>
                </c:pt>
                <c:pt idx="4">
                  <c:v>45</c:v>
                </c:pt>
                <c:pt idx="5">
                  <c:v>45</c:v>
                </c:pt>
                <c:pt idx="6">
                  <c:v>3</c:v>
                </c:pt>
                <c:pt idx="7">
                  <c:v>12</c:v>
                </c:pt>
                <c:pt idx="8">
                  <c:v>20</c:v>
                </c:pt>
                <c:pt idx="9">
                  <c:v>0</c:v>
                </c:pt>
                <c:pt idx="10">
                  <c:v>169</c:v>
                </c:pt>
              </c:numCache>
            </c:numRef>
          </c:val>
          <c:extLst>
            <c:ext xmlns:c16="http://schemas.microsoft.com/office/drawing/2014/chart" uri="{C3380CC4-5D6E-409C-BE32-E72D297353CC}">
              <c16:uniqueId val="{00000002-6B9F-4488-9728-6B6A9A49AD64}"/>
            </c:ext>
          </c:extLst>
        </c:ser>
        <c:dLbls>
          <c:showLegendKey val="0"/>
          <c:showVal val="0"/>
          <c:showCatName val="0"/>
          <c:showSerName val="0"/>
          <c:showPercent val="0"/>
          <c:showBubbleSize val="0"/>
        </c:dLbls>
        <c:gapWidth val="150"/>
        <c:shape val="box"/>
        <c:axId val="101043200"/>
        <c:axId val="101049088"/>
        <c:axId val="0"/>
      </c:bar3DChart>
      <c:catAx>
        <c:axId val="101043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bg-BG"/>
          </a:p>
        </c:txPr>
        <c:crossAx val="101049088"/>
        <c:crosses val="autoZero"/>
        <c:auto val="1"/>
        <c:lblAlgn val="ctr"/>
        <c:lblOffset val="100"/>
        <c:noMultiLvlLbl val="0"/>
      </c:catAx>
      <c:valAx>
        <c:axId val="1010490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хил.ф.тона</a:t>
                </a:r>
              </a:p>
            </c:rich>
          </c:tx>
          <c:layout>
            <c:manualLayout>
              <c:xMode val="edge"/>
              <c:yMode val="edge"/>
              <c:x val="3.7451613379159308E-3"/>
              <c:y val="6.7271653543307094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01043200"/>
        <c:crosses val="autoZero"/>
        <c:crossBetween val="between"/>
      </c:valAx>
      <c:spPr>
        <a:noFill/>
        <a:ln>
          <a:noFill/>
        </a:ln>
        <a:effectLst/>
      </c:spPr>
    </c:plotArea>
    <c:legend>
      <c:legendPos val="b"/>
      <c:layout>
        <c:manualLayout>
          <c:xMode val="edge"/>
          <c:yMode val="edge"/>
          <c:x val="0.63338406049258711"/>
          <c:y val="0.18385367454068238"/>
          <c:w val="0.23137504187779492"/>
          <c:h val="7.03129921259842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baseline="0">
                <a:solidFill>
                  <a:schemeClr val="dk1">
                    <a:lumMod val="75000"/>
                    <a:lumOff val="25000"/>
                  </a:schemeClr>
                </a:solidFill>
                <a:effectLst>
                  <a:outerShdw blurRad="75057" dist="38100" dir="5400000" sy="-20000" rotWithShape="0">
                    <a:prstClr val="black">
                      <a:alpha val="25000"/>
                    </a:prstClr>
                  </a:outerShdw>
                </a:effectLst>
                <a:latin typeface="+mn-lt"/>
                <a:ea typeface="+mn-ea"/>
                <a:cs typeface="+mn-cs"/>
              </a:defRPr>
            </a:pPr>
            <a:r>
              <a:rPr lang="bg-BG" sz="1300">
                <a:effectLst>
                  <a:outerShdw blurRad="75057" dist="38100" dir="5400000" sy="-20000" rotWithShape="0">
                    <a:prstClr val="black">
                      <a:alpha val="25000"/>
                    </a:prstClr>
                  </a:outerShdw>
                </a:effectLst>
              </a:rPr>
              <a:t>Основни резултати от дейността</a:t>
            </a:r>
          </a:p>
        </c:rich>
      </c:tx>
      <c:layout>
        <c:manualLayout>
          <c:xMode val="edge"/>
          <c:yMode val="edge"/>
          <c:x val="0.25021874000746386"/>
          <c:y val="4.0066770940759368E-2"/>
        </c:manualLayout>
      </c:layout>
      <c:overlay val="0"/>
      <c:spPr>
        <a:noFill/>
        <a:ln>
          <a:noFill/>
        </a:ln>
        <a:effectLst/>
      </c:spPr>
      <c:txPr>
        <a:bodyPr rot="0" spcFirstLastPara="1" vertOverflow="ellipsis" vert="horz" wrap="square" anchor="ctr" anchorCtr="1"/>
        <a:lstStyle/>
        <a:p>
          <a:pPr>
            <a:defRPr sz="1300" b="1" i="0" u="none" strike="noStrike" kern="1200" baseline="0">
              <a:solidFill>
                <a:schemeClr val="dk1">
                  <a:lumMod val="75000"/>
                  <a:lumOff val="25000"/>
                </a:schemeClr>
              </a:solidFill>
              <a:effectLst>
                <a:outerShdw blurRad="75057" dist="38100" dir="5400000" sy="-20000" rotWithShape="0">
                  <a:prstClr val="black">
                    <a:alpha val="25000"/>
                  </a:prstClr>
                </a:outerShdw>
              </a:effectLst>
              <a:latin typeface="+mn-lt"/>
              <a:ea typeface="+mn-ea"/>
              <a:cs typeface="+mn-cs"/>
            </a:defRPr>
          </a:pPr>
          <a:endParaRPr lang="bg-BG"/>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929445956958463E-2"/>
          <c:y val="0.131116492296173"/>
          <c:w val="0.86685046704303415"/>
          <c:h val="0.68200059031008109"/>
        </c:manualLayout>
      </c:layout>
      <c:bar3DChart>
        <c:barDir val="col"/>
        <c:grouping val="clustered"/>
        <c:varyColors val="0"/>
        <c:ser>
          <c:idx val="0"/>
          <c:order val="0"/>
          <c:tx>
            <c:strRef>
              <c:f>Sheet1!$B$1</c:f>
              <c:strCache>
                <c:ptCount val="1"/>
                <c:pt idx="0">
                  <c:v>2018</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Sheet1!$A$2:$A$5</c:f>
              <c:strCache>
                <c:ptCount val="4"/>
                <c:pt idx="0">
                  <c:v>Товари хил.физ.тона</c:v>
                </c:pt>
                <c:pt idx="1">
                  <c:v>Нет.приходи хил.лв.</c:v>
                </c:pt>
                <c:pt idx="2">
                  <c:v>Разходи за дейността хил.лв.</c:v>
                </c:pt>
                <c:pt idx="3">
                  <c:v>Сч.Печалба хил.лв.</c:v>
                </c:pt>
              </c:strCache>
            </c:strRef>
          </c:cat>
          <c:val>
            <c:numRef>
              <c:f>Sheet1!$B$2:$B$5</c:f>
              <c:numCache>
                <c:formatCode>General</c:formatCode>
                <c:ptCount val="4"/>
                <c:pt idx="0">
                  <c:v>604</c:v>
                </c:pt>
                <c:pt idx="1">
                  <c:v>5253</c:v>
                </c:pt>
                <c:pt idx="2">
                  <c:v>4683</c:v>
                </c:pt>
                <c:pt idx="3">
                  <c:v>618</c:v>
                </c:pt>
              </c:numCache>
            </c:numRef>
          </c:val>
          <c:extLst>
            <c:ext xmlns:c16="http://schemas.microsoft.com/office/drawing/2014/chart" uri="{C3380CC4-5D6E-409C-BE32-E72D297353CC}">
              <c16:uniqueId val="{00000000-913F-459F-A542-390BF2FE10C3}"/>
            </c:ext>
          </c:extLst>
        </c:ser>
        <c:ser>
          <c:idx val="1"/>
          <c:order val="1"/>
          <c:tx>
            <c:strRef>
              <c:f>Sheet1!$C$1</c:f>
              <c:strCache>
                <c:ptCount val="1"/>
                <c:pt idx="0">
                  <c:v>БПл</c:v>
                </c:pt>
              </c:strCache>
            </c:strRef>
          </c:tx>
          <c:spPr>
            <a:solidFill>
              <a:schemeClr val="accent6">
                <a:lumMod val="60000"/>
                <a:lumOff val="40000"/>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Sheet1!$A$2:$A$5</c:f>
              <c:strCache>
                <c:ptCount val="4"/>
                <c:pt idx="0">
                  <c:v>Товари хил.физ.тона</c:v>
                </c:pt>
                <c:pt idx="1">
                  <c:v>Нет.приходи хил.лв.</c:v>
                </c:pt>
                <c:pt idx="2">
                  <c:v>Разходи за дейността хил.лв.</c:v>
                </c:pt>
                <c:pt idx="3">
                  <c:v>Сч.Печалба хил.лв.</c:v>
                </c:pt>
              </c:strCache>
            </c:strRef>
          </c:cat>
          <c:val>
            <c:numRef>
              <c:f>Sheet1!$C$2:$C$5</c:f>
              <c:numCache>
                <c:formatCode>General</c:formatCode>
                <c:ptCount val="4"/>
                <c:pt idx="0">
                  <c:v>728</c:v>
                </c:pt>
                <c:pt idx="1">
                  <c:v>5191</c:v>
                </c:pt>
                <c:pt idx="2">
                  <c:v>4639</c:v>
                </c:pt>
                <c:pt idx="3">
                  <c:v>574</c:v>
                </c:pt>
              </c:numCache>
            </c:numRef>
          </c:val>
          <c:extLst>
            <c:ext xmlns:c16="http://schemas.microsoft.com/office/drawing/2014/chart" uri="{C3380CC4-5D6E-409C-BE32-E72D297353CC}">
              <c16:uniqueId val="{00000001-913F-459F-A542-390BF2FE10C3}"/>
            </c:ext>
          </c:extLst>
        </c:ser>
        <c:ser>
          <c:idx val="2"/>
          <c:order val="2"/>
          <c:tx>
            <c:strRef>
              <c:f>Sheet1!$D$1</c:f>
              <c:strCache>
                <c:ptCount val="1"/>
                <c:pt idx="0">
                  <c:v>2017</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cat>
            <c:strRef>
              <c:f>Sheet1!$A$2:$A$5</c:f>
              <c:strCache>
                <c:ptCount val="4"/>
                <c:pt idx="0">
                  <c:v>Товари хил.физ.тона</c:v>
                </c:pt>
                <c:pt idx="1">
                  <c:v>Нет.приходи хил.лв.</c:v>
                </c:pt>
                <c:pt idx="2">
                  <c:v>Разходи за дейността хил.лв.</c:v>
                </c:pt>
                <c:pt idx="3">
                  <c:v>Сч.Печалба хил.лв.</c:v>
                </c:pt>
              </c:strCache>
            </c:strRef>
          </c:cat>
          <c:val>
            <c:numRef>
              <c:f>Sheet1!$D$2:$D$5</c:f>
              <c:numCache>
                <c:formatCode>General</c:formatCode>
                <c:ptCount val="4"/>
                <c:pt idx="0">
                  <c:v>728</c:v>
                </c:pt>
                <c:pt idx="1">
                  <c:v>5410</c:v>
                </c:pt>
                <c:pt idx="2">
                  <c:v>4952</c:v>
                </c:pt>
                <c:pt idx="3">
                  <c:v>600</c:v>
                </c:pt>
              </c:numCache>
            </c:numRef>
          </c:val>
          <c:extLst>
            <c:ext xmlns:c16="http://schemas.microsoft.com/office/drawing/2014/chart" uri="{C3380CC4-5D6E-409C-BE32-E72D297353CC}">
              <c16:uniqueId val="{00000002-913F-459F-A542-390BF2FE10C3}"/>
            </c:ext>
          </c:extLst>
        </c:ser>
        <c:dLbls>
          <c:showLegendKey val="0"/>
          <c:showVal val="0"/>
          <c:showCatName val="0"/>
          <c:showSerName val="0"/>
          <c:showPercent val="0"/>
          <c:showBubbleSize val="0"/>
        </c:dLbls>
        <c:gapWidth val="65"/>
        <c:shape val="box"/>
        <c:axId val="102261504"/>
        <c:axId val="102263040"/>
        <c:axId val="0"/>
      </c:bar3DChart>
      <c:catAx>
        <c:axId val="102261504"/>
        <c:scaling>
          <c:orientation val="minMax"/>
        </c:scaling>
        <c:delete val="0"/>
        <c:axPos val="b"/>
        <c:numFmt formatCode="General" sourceLinked="0"/>
        <c:majorTickMark val="cross"/>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bg-BG"/>
          </a:p>
        </c:txPr>
        <c:crossAx val="102263040"/>
        <c:crosses val="autoZero"/>
        <c:auto val="1"/>
        <c:lblAlgn val="ctr"/>
        <c:lblOffset val="100"/>
        <c:noMultiLvlLbl val="0"/>
      </c:catAx>
      <c:valAx>
        <c:axId val="1022630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bg-BG"/>
          </a:p>
        </c:txPr>
        <c:crossAx val="102261504"/>
        <c:crosses val="autoZero"/>
        <c:crossBetween val="between"/>
      </c:valAx>
      <c:spPr>
        <a:noFill/>
        <a:ln>
          <a:noFill/>
        </a:ln>
        <a:effectLst/>
      </c:spPr>
    </c:plotArea>
    <c:legend>
      <c:legendPos val="r"/>
      <c:layout>
        <c:manualLayout>
          <c:xMode val="edge"/>
          <c:yMode val="edge"/>
          <c:x val="0.3952908272151866"/>
          <c:y val="0.91906626653858825"/>
          <c:w val="0.21769790704591349"/>
          <c:h val="7.8474418213306585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bg-BG"/>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baseline="0">
                <a:solidFill>
                  <a:schemeClr val="dk1">
                    <a:lumMod val="75000"/>
                    <a:lumOff val="25000"/>
                  </a:schemeClr>
                </a:solidFill>
                <a:latin typeface="+mn-lt"/>
                <a:ea typeface="+mn-ea"/>
                <a:cs typeface="+mn-cs"/>
              </a:defRPr>
            </a:pPr>
            <a:r>
              <a:rPr lang="bg-BG" sz="1300"/>
              <a:t>Разходи по икономически елементи</a:t>
            </a:r>
          </a:p>
        </c:rich>
      </c:tx>
      <c:layout>
        <c:manualLayout>
          <c:xMode val="edge"/>
          <c:yMode val="edge"/>
          <c:x val="0.20353587876987078"/>
          <c:y val="1.3892104653855059E-2"/>
        </c:manualLayout>
      </c:layout>
      <c:overlay val="0"/>
      <c:spPr>
        <a:noFill/>
        <a:ln>
          <a:noFill/>
        </a:ln>
        <a:effectLst>
          <a:innerShdw blurRad="63500" dist="50800" dir="2700000">
            <a:prstClr val="black">
              <a:alpha val="50000"/>
            </a:prstClr>
          </a:innerShdw>
        </a:effectLst>
      </c:spPr>
      <c:txPr>
        <a:bodyPr rot="0" spcFirstLastPara="1" vertOverflow="ellipsis" vert="horz" wrap="square" anchor="ctr" anchorCtr="1"/>
        <a:lstStyle/>
        <a:p>
          <a:pPr>
            <a:defRPr sz="1300" b="1" i="0" u="none" strike="noStrike" kern="1200" baseline="0">
              <a:solidFill>
                <a:schemeClr val="dk1">
                  <a:lumMod val="75000"/>
                  <a:lumOff val="25000"/>
                </a:schemeClr>
              </a:solidFill>
              <a:latin typeface="+mn-lt"/>
              <a:ea typeface="+mn-ea"/>
              <a:cs typeface="+mn-cs"/>
            </a:defRPr>
          </a:pPr>
          <a:endParaRPr lang="bg-BG"/>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056714785651792"/>
          <c:y val="0.10226859308004745"/>
          <c:w val="0.77492963791802405"/>
          <c:h val="0.81348010606598575"/>
        </c:manualLayout>
      </c:layout>
      <c:bar3DChart>
        <c:barDir val="bar"/>
        <c:grouping val="clustered"/>
        <c:varyColors val="0"/>
        <c:ser>
          <c:idx val="0"/>
          <c:order val="0"/>
          <c:tx>
            <c:strRef>
              <c:f>Sheet1!$B$50</c:f>
              <c:strCache>
                <c:ptCount val="1"/>
                <c:pt idx="0">
                  <c:v>2019</c:v>
                </c:pt>
              </c:strCache>
            </c:strRef>
          </c:tx>
          <c:spPr>
            <a:solidFill>
              <a:schemeClr val="accent1">
                <a:alpha val="85000"/>
              </a:schemeClr>
            </a:solidFill>
            <a:ln w="9525" cap="flat" cmpd="sng" algn="ctr">
              <a:solidFill>
                <a:schemeClr val="accent1">
                  <a:lumMod val="60000"/>
                  <a:lumOff val="40000"/>
                </a:schemeClr>
              </a:solidFill>
              <a:round/>
            </a:ln>
            <a:effectLst/>
            <a:sp3d contourW="9525">
              <a:contourClr>
                <a:schemeClr val="accent1">
                  <a:lumMod val="60000"/>
                  <a:lumOff val="40000"/>
                </a:schemeClr>
              </a:contourClr>
            </a:sp3d>
          </c:spPr>
          <c:invertIfNegative val="0"/>
          <c:cat>
            <c:strRef>
              <c:f>Sheet1!$A$51:$A$57</c:f>
              <c:strCache>
                <c:ptCount val="7"/>
                <c:pt idx="0">
                  <c:v>Общо разх.</c:v>
                </c:pt>
                <c:pt idx="1">
                  <c:v>Материали</c:v>
                </c:pt>
                <c:pt idx="2">
                  <c:v>Външни у-ги</c:v>
                </c:pt>
                <c:pt idx="3">
                  <c:v>Аморт.</c:v>
                </c:pt>
                <c:pt idx="4">
                  <c:v>Възнагражд-я</c:v>
                </c:pt>
                <c:pt idx="5">
                  <c:v>Осиг. и надб.</c:v>
                </c:pt>
                <c:pt idx="6">
                  <c:v>Други</c:v>
                </c:pt>
              </c:strCache>
            </c:strRef>
          </c:cat>
          <c:val>
            <c:numRef>
              <c:f>Sheet1!$B$51:$B$57</c:f>
              <c:numCache>
                <c:formatCode>General</c:formatCode>
                <c:ptCount val="7"/>
                <c:pt idx="0">
                  <c:v>5092</c:v>
                </c:pt>
                <c:pt idx="1">
                  <c:v>614</c:v>
                </c:pt>
                <c:pt idx="2">
                  <c:v>970</c:v>
                </c:pt>
                <c:pt idx="3">
                  <c:v>381</c:v>
                </c:pt>
                <c:pt idx="4">
                  <c:v>1987</c:v>
                </c:pt>
                <c:pt idx="5">
                  <c:v>845</c:v>
                </c:pt>
                <c:pt idx="6">
                  <c:v>295</c:v>
                </c:pt>
              </c:numCache>
            </c:numRef>
          </c:val>
          <c:extLst>
            <c:ext xmlns:c16="http://schemas.microsoft.com/office/drawing/2014/chart" uri="{C3380CC4-5D6E-409C-BE32-E72D297353CC}">
              <c16:uniqueId val="{00000000-295C-4D03-A53B-8AE7A50347A3}"/>
            </c:ext>
          </c:extLst>
        </c:ser>
        <c:ser>
          <c:idx val="1"/>
          <c:order val="1"/>
          <c:tx>
            <c:strRef>
              <c:f>Sheet1!$C$50</c:f>
              <c:strCache>
                <c:ptCount val="1"/>
                <c:pt idx="0">
                  <c:v>2018</c:v>
                </c:pt>
              </c:strCache>
            </c:strRef>
          </c:tx>
          <c:spPr>
            <a:solidFill>
              <a:schemeClr val="accent2">
                <a:alpha val="85000"/>
              </a:schemeClr>
            </a:solidFill>
            <a:ln w="9525" cap="flat" cmpd="sng" algn="ctr">
              <a:solidFill>
                <a:schemeClr val="bg1"/>
              </a:solidFill>
              <a:round/>
            </a:ln>
            <a:effectLst/>
            <a:sp3d contourW="9525">
              <a:contourClr>
                <a:schemeClr val="bg1"/>
              </a:contourClr>
            </a:sp3d>
          </c:spPr>
          <c:invertIfNegative val="0"/>
          <c:cat>
            <c:strRef>
              <c:f>Sheet1!$A$51:$A$57</c:f>
              <c:strCache>
                <c:ptCount val="7"/>
                <c:pt idx="0">
                  <c:v>Общо разх.</c:v>
                </c:pt>
                <c:pt idx="1">
                  <c:v>Материали</c:v>
                </c:pt>
                <c:pt idx="2">
                  <c:v>Външни у-ги</c:v>
                </c:pt>
                <c:pt idx="3">
                  <c:v>Аморт.</c:v>
                </c:pt>
                <c:pt idx="4">
                  <c:v>Възнагражд-я</c:v>
                </c:pt>
                <c:pt idx="5">
                  <c:v>Осиг. и надб.</c:v>
                </c:pt>
                <c:pt idx="6">
                  <c:v>Други</c:v>
                </c:pt>
              </c:strCache>
            </c:strRef>
          </c:cat>
          <c:val>
            <c:numRef>
              <c:f>Sheet1!$C$51:$C$57</c:f>
              <c:numCache>
                <c:formatCode>General</c:formatCode>
                <c:ptCount val="7"/>
                <c:pt idx="0">
                  <c:v>4683</c:v>
                </c:pt>
                <c:pt idx="1">
                  <c:v>544</c:v>
                </c:pt>
                <c:pt idx="2">
                  <c:v>903</c:v>
                </c:pt>
                <c:pt idx="3">
                  <c:v>393</c:v>
                </c:pt>
                <c:pt idx="4">
                  <c:v>1842</c:v>
                </c:pt>
                <c:pt idx="5">
                  <c:v>860</c:v>
                </c:pt>
                <c:pt idx="6">
                  <c:v>141</c:v>
                </c:pt>
              </c:numCache>
            </c:numRef>
          </c:val>
          <c:extLst>
            <c:ext xmlns:c16="http://schemas.microsoft.com/office/drawing/2014/chart" uri="{C3380CC4-5D6E-409C-BE32-E72D297353CC}">
              <c16:uniqueId val="{00000001-295C-4D03-A53B-8AE7A50347A3}"/>
            </c:ext>
          </c:extLst>
        </c:ser>
        <c:dLbls>
          <c:showLegendKey val="0"/>
          <c:showVal val="0"/>
          <c:showCatName val="0"/>
          <c:showSerName val="0"/>
          <c:showPercent val="0"/>
          <c:showBubbleSize val="0"/>
        </c:dLbls>
        <c:gapWidth val="65"/>
        <c:shape val="box"/>
        <c:axId val="102457728"/>
        <c:axId val="102459264"/>
        <c:axId val="0"/>
      </c:bar3DChart>
      <c:catAx>
        <c:axId val="1024577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bg-BG"/>
          </a:p>
        </c:txPr>
        <c:crossAx val="102459264"/>
        <c:crosses val="autoZero"/>
        <c:auto val="1"/>
        <c:lblAlgn val="ctr"/>
        <c:lblOffset val="100"/>
        <c:noMultiLvlLbl val="0"/>
      </c:catAx>
      <c:valAx>
        <c:axId val="10245926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bg-BG"/>
                  <a:t>хил.</a:t>
                </a:r>
              </a:p>
              <a:p>
                <a:pPr>
                  <a:defRPr/>
                </a:pPr>
                <a:r>
                  <a:rPr lang="bg-BG"/>
                  <a:t>лв.</a:t>
                </a:r>
              </a:p>
            </c:rich>
          </c:tx>
          <c:layout>
            <c:manualLayout>
              <c:xMode val="edge"/>
              <c:yMode val="edge"/>
              <c:x val="0.84430270115606632"/>
              <c:y val="0.790947890022661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bg-BG"/>
          </a:p>
        </c:txPr>
        <c:crossAx val="102457728"/>
        <c:crosses val="autoZero"/>
        <c:crossBetween val="between"/>
      </c:valAx>
      <c:spPr>
        <a:noFill/>
        <a:ln>
          <a:noFill/>
        </a:ln>
        <a:effectLst/>
      </c:spPr>
    </c:plotArea>
    <c:legend>
      <c:legendPos val="b"/>
      <c:layout>
        <c:manualLayout>
          <c:xMode val="edge"/>
          <c:yMode val="edge"/>
          <c:x val="0.79419468792815984"/>
          <c:y val="0.1485292053242129"/>
          <c:w val="0.12439866400347756"/>
          <c:h val="0.1800190697394592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bg-BG"/>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C785C-9448-4A1D-A54F-AEFC05543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8114</Words>
  <Characters>46256</Characters>
  <Application>Microsoft Office Word</Application>
  <DocSecurity>0</DocSecurity>
  <Lines>385</Lines>
  <Paragraphs>108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ОСНОВНИ ФИНАНСОВИ И ОПЕРАТИВНИ ПОКАЗАТЕЛИ</vt:lpstr>
      <vt:lpstr>ОСНОВНИ ФИНАНСОВИ И ОПЕРАТИВНИ ПОКАЗАТЕЛИ</vt:lpstr>
    </vt:vector>
  </TitlesOfParts>
  <Company>Ministry of Transport and Communications Bulgaria</Company>
  <LinksUpToDate>false</LinksUpToDate>
  <CharactersWithSpaces>54262</CharactersWithSpaces>
  <SharedDoc>false</SharedDoc>
  <HLinks>
    <vt:vector size="108" baseType="variant">
      <vt:variant>
        <vt:i4>1572913</vt:i4>
      </vt:variant>
      <vt:variant>
        <vt:i4>107</vt:i4>
      </vt:variant>
      <vt:variant>
        <vt:i4>0</vt:i4>
      </vt:variant>
      <vt:variant>
        <vt:i4>5</vt:i4>
      </vt:variant>
      <vt:variant>
        <vt:lpwstr/>
      </vt:variant>
      <vt:variant>
        <vt:lpwstr>_Toc477959782</vt:lpwstr>
      </vt:variant>
      <vt:variant>
        <vt:i4>1572913</vt:i4>
      </vt:variant>
      <vt:variant>
        <vt:i4>101</vt:i4>
      </vt:variant>
      <vt:variant>
        <vt:i4>0</vt:i4>
      </vt:variant>
      <vt:variant>
        <vt:i4>5</vt:i4>
      </vt:variant>
      <vt:variant>
        <vt:lpwstr/>
      </vt:variant>
      <vt:variant>
        <vt:lpwstr>_Toc477959781</vt:lpwstr>
      </vt:variant>
      <vt:variant>
        <vt:i4>1572913</vt:i4>
      </vt:variant>
      <vt:variant>
        <vt:i4>95</vt:i4>
      </vt:variant>
      <vt:variant>
        <vt:i4>0</vt:i4>
      </vt:variant>
      <vt:variant>
        <vt:i4>5</vt:i4>
      </vt:variant>
      <vt:variant>
        <vt:lpwstr/>
      </vt:variant>
      <vt:variant>
        <vt:lpwstr>_Toc477959780</vt:lpwstr>
      </vt:variant>
      <vt:variant>
        <vt:i4>1507377</vt:i4>
      </vt:variant>
      <vt:variant>
        <vt:i4>89</vt:i4>
      </vt:variant>
      <vt:variant>
        <vt:i4>0</vt:i4>
      </vt:variant>
      <vt:variant>
        <vt:i4>5</vt:i4>
      </vt:variant>
      <vt:variant>
        <vt:lpwstr/>
      </vt:variant>
      <vt:variant>
        <vt:lpwstr>_Toc477959779</vt:lpwstr>
      </vt:variant>
      <vt:variant>
        <vt:i4>1507377</vt:i4>
      </vt:variant>
      <vt:variant>
        <vt:i4>83</vt:i4>
      </vt:variant>
      <vt:variant>
        <vt:i4>0</vt:i4>
      </vt:variant>
      <vt:variant>
        <vt:i4>5</vt:i4>
      </vt:variant>
      <vt:variant>
        <vt:lpwstr/>
      </vt:variant>
      <vt:variant>
        <vt:lpwstr>_Toc477959778</vt:lpwstr>
      </vt:variant>
      <vt:variant>
        <vt:i4>1507377</vt:i4>
      </vt:variant>
      <vt:variant>
        <vt:i4>77</vt:i4>
      </vt:variant>
      <vt:variant>
        <vt:i4>0</vt:i4>
      </vt:variant>
      <vt:variant>
        <vt:i4>5</vt:i4>
      </vt:variant>
      <vt:variant>
        <vt:lpwstr/>
      </vt:variant>
      <vt:variant>
        <vt:lpwstr>_Toc477959777</vt:lpwstr>
      </vt:variant>
      <vt:variant>
        <vt:i4>1507377</vt:i4>
      </vt:variant>
      <vt:variant>
        <vt:i4>71</vt:i4>
      </vt:variant>
      <vt:variant>
        <vt:i4>0</vt:i4>
      </vt:variant>
      <vt:variant>
        <vt:i4>5</vt:i4>
      </vt:variant>
      <vt:variant>
        <vt:lpwstr/>
      </vt:variant>
      <vt:variant>
        <vt:lpwstr>_Toc477959776</vt:lpwstr>
      </vt:variant>
      <vt:variant>
        <vt:i4>1507377</vt:i4>
      </vt:variant>
      <vt:variant>
        <vt:i4>65</vt:i4>
      </vt:variant>
      <vt:variant>
        <vt:i4>0</vt:i4>
      </vt:variant>
      <vt:variant>
        <vt:i4>5</vt:i4>
      </vt:variant>
      <vt:variant>
        <vt:lpwstr/>
      </vt:variant>
      <vt:variant>
        <vt:lpwstr>_Toc477959775</vt:lpwstr>
      </vt:variant>
      <vt:variant>
        <vt:i4>1507377</vt:i4>
      </vt:variant>
      <vt:variant>
        <vt:i4>59</vt:i4>
      </vt:variant>
      <vt:variant>
        <vt:i4>0</vt:i4>
      </vt:variant>
      <vt:variant>
        <vt:i4>5</vt:i4>
      </vt:variant>
      <vt:variant>
        <vt:lpwstr/>
      </vt:variant>
      <vt:variant>
        <vt:lpwstr>_Toc477959774</vt:lpwstr>
      </vt:variant>
      <vt:variant>
        <vt:i4>1507377</vt:i4>
      </vt:variant>
      <vt:variant>
        <vt:i4>53</vt:i4>
      </vt:variant>
      <vt:variant>
        <vt:i4>0</vt:i4>
      </vt:variant>
      <vt:variant>
        <vt:i4>5</vt:i4>
      </vt:variant>
      <vt:variant>
        <vt:lpwstr/>
      </vt:variant>
      <vt:variant>
        <vt:lpwstr>_Toc477959773</vt:lpwstr>
      </vt:variant>
      <vt:variant>
        <vt:i4>1507377</vt:i4>
      </vt:variant>
      <vt:variant>
        <vt:i4>47</vt:i4>
      </vt:variant>
      <vt:variant>
        <vt:i4>0</vt:i4>
      </vt:variant>
      <vt:variant>
        <vt:i4>5</vt:i4>
      </vt:variant>
      <vt:variant>
        <vt:lpwstr/>
      </vt:variant>
      <vt:variant>
        <vt:lpwstr>_Toc477959772</vt:lpwstr>
      </vt:variant>
      <vt:variant>
        <vt:i4>1507377</vt:i4>
      </vt:variant>
      <vt:variant>
        <vt:i4>41</vt:i4>
      </vt:variant>
      <vt:variant>
        <vt:i4>0</vt:i4>
      </vt:variant>
      <vt:variant>
        <vt:i4>5</vt:i4>
      </vt:variant>
      <vt:variant>
        <vt:lpwstr/>
      </vt:variant>
      <vt:variant>
        <vt:lpwstr>_Toc477959771</vt:lpwstr>
      </vt:variant>
      <vt:variant>
        <vt:i4>1441841</vt:i4>
      </vt:variant>
      <vt:variant>
        <vt:i4>35</vt:i4>
      </vt:variant>
      <vt:variant>
        <vt:i4>0</vt:i4>
      </vt:variant>
      <vt:variant>
        <vt:i4>5</vt:i4>
      </vt:variant>
      <vt:variant>
        <vt:lpwstr/>
      </vt:variant>
      <vt:variant>
        <vt:lpwstr>_Toc477959769</vt:lpwstr>
      </vt:variant>
      <vt:variant>
        <vt:i4>1441841</vt:i4>
      </vt:variant>
      <vt:variant>
        <vt:i4>29</vt:i4>
      </vt:variant>
      <vt:variant>
        <vt:i4>0</vt:i4>
      </vt:variant>
      <vt:variant>
        <vt:i4>5</vt:i4>
      </vt:variant>
      <vt:variant>
        <vt:lpwstr/>
      </vt:variant>
      <vt:variant>
        <vt:lpwstr>_Toc477959768</vt:lpwstr>
      </vt:variant>
      <vt:variant>
        <vt:i4>1441841</vt:i4>
      </vt:variant>
      <vt:variant>
        <vt:i4>23</vt:i4>
      </vt:variant>
      <vt:variant>
        <vt:i4>0</vt:i4>
      </vt:variant>
      <vt:variant>
        <vt:i4>5</vt:i4>
      </vt:variant>
      <vt:variant>
        <vt:lpwstr/>
      </vt:variant>
      <vt:variant>
        <vt:lpwstr>_Toc477959767</vt:lpwstr>
      </vt:variant>
      <vt:variant>
        <vt:i4>1441841</vt:i4>
      </vt:variant>
      <vt:variant>
        <vt:i4>17</vt:i4>
      </vt:variant>
      <vt:variant>
        <vt:i4>0</vt:i4>
      </vt:variant>
      <vt:variant>
        <vt:i4>5</vt:i4>
      </vt:variant>
      <vt:variant>
        <vt:lpwstr/>
      </vt:variant>
      <vt:variant>
        <vt:lpwstr>_Toc477959765</vt:lpwstr>
      </vt:variant>
      <vt:variant>
        <vt:i4>1441841</vt:i4>
      </vt:variant>
      <vt:variant>
        <vt:i4>11</vt:i4>
      </vt:variant>
      <vt:variant>
        <vt:i4>0</vt:i4>
      </vt:variant>
      <vt:variant>
        <vt:i4>5</vt:i4>
      </vt:variant>
      <vt:variant>
        <vt:lpwstr/>
      </vt:variant>
      <vt:variant>
        <vt:lpwstr>_Toc477959763</vt:lpwstr>
      </vt:variant>
      <vt:variant>
        <vt:i4>1441841</vt:i4>
      </vt:variant>
      <vt:variant>
        <vt:i4>5</vt:i4>
      </vt:variant>
      <vt:variant>
        <vt:i4>0</vt:i4>
      </vt:variant>
      <vt:variant>
        <vt:i4>5</vt:i4>
      </vt:variant>
      <vt:variant>
        <vt:lpwstr/>
      </vt:variant>
      <vt:variant>
        <vt:lpwstr>_Toc477959762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ОСНОВНИ ФИНАНСОВИ И ОПЕРАТИВНИ ПОКАЗАТЕЛИ</dc:title>
  <dc:subject/>
  <dc:creator>Mihail Dragiev</dc:creator>
  <cp:keywords/>
  <dc:description/>
  <cp:lastModifiedBy>Dobrinca Antcheva</cp:lastModifiedBy>
  <cp:revision>2</cp:revision>
  <cp:lastPrinted>2018-03-19T13:43:00Z</cp:lastPrinted>
  <dcterms:created xsi:type="dcterms:W3CDTF">2020-06-22T11:58:00Z</dcterms:created>
  <dcterms:modified xsi:type="dcterms:W3CDTF">2020-06-22T11:58:00Z</dcterms:modified>
</cp:coreProperties>
</file>